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36" w:rsidRPr="00D97EBB" w:rsidRDefault="00041FB7" w:rsidP="00B50B43">
      <w:pPr>
        <w:pStyle w:val="aff4"/>
        <w:tabs>
          <w:tab w:val="left" w:pos="6096"/>
        </w:tabs>
        <w:suppressAutoHyphens/>
        <w:ind w:left="609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>Утвержден</w:t>
      </w:r>
    </w:p>
    <w:p w:rsidR="00834536" w:rsidRPr="00D97EBB" w:rsidRDefault="00041FB7" w:rsidP="00B50B43">
      <w:pPr>
        <w:pStyle w:val="aff4"/>
        <w:suppressAutoHyphens/>
        <w:ind w:left="609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постановлением </w:t>
      </w:r>
    </w:p>
    <w:p w:rsidR="00834536" w:rsidRPr="00D97EBB" w:rsidRDefault="00041FB7" w:rsidP="00B50B43">
      <w:pPr>
        <w:pStyle w:val="aff4"/>
        <w:suppressAutoHyphens/>
        <w:ind w:left="609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Кабинета Министров </w:t>
      </w:r>
    </w:p>
    <w:p w:rsidR="00834536" w:rsidRPr="00D97EBB" w:rsidRDefault="00041FB7" w:rsidP="00B50B43">
      <w:pPr>
        <w:pStyle w:val="aff4"/>
        <w:suppressAutoHyphens/>
        <w:ind w:left="609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>Республики Татарстан</w:t>
      </w:r>
    </w:p>
    <w:p w:rsidR="00834536" w:rsidRPr="00D97EBB" w:rsidRDefault="00041FB7" w:rsidP="00B50B43">
      <w:pPr>
        <w:pStyle w:val="aff4"/>
        <w:suppressAutoHyphens/>
        <w:ind w:left="609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>от ______ 2025 № ____</w:t>
      </w:r>
    </w:p>
    <w:p w:rsidR="00834536" w:rsidRPr="00D97EBB" w:rsidRDefault="00834536" w:rsidP="00B50B43">
      <w:pPr>
        <w:pStyle w:val="1"/>
        <w:suppressAutoHyphens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34536" w:rsidRPr="00D97EBB" w:rsidRDefault="00834536" w:rsidP="00B50B43">
      <w:pPr>
        <w:pStyle w:val="1"/>
        <w:suppressAutoHyphens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pStyle w:val="1"/>
        <w:suppressAutoHyphens/>
        <w:ind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Порядок </w:t>
      </w:r>
      <w:r w:rsidRPr="00D97EBB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в 2025 году гранта в форме субсидии образовательным организациям высшего образования, научным и иным организациям на поддержку п</w:t>
      </w:r>
      <w:r w:rsidR="00CC5321" w:rsidRPr="00D97EBB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ланов</w:t>
      </w:r>
      <w:r w:rsidRPr="00D97EBB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развития кадрового потенциала в части стимулирования </w:t>
      </w:r>
      <w:r w:rsidR="00D24177" w:rsidRPr="00D97EBB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их научных и</w:t>
      </w:r>
      <w:r w:rsidR="00D24177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научно-педагогических работников к защите докторских диссертаций и выполнению научно-исследовательских работ </w:t>
      </w:r>
      <w:r w:rsidR="00D24177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834536" w:rsidRPr="00D97EBB" w:rsidRDefault="00041FB7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I. Общие положения</w:t>
      </w:r>
    </w:p>
    <w:p w:rsidR="00834536" w:rsidRPr="00D97EBB" w:rsidRDefault="00834536" w:rsidP="00B50B43">
      <w:pPr>
        <w:pStyle w:val="aff1"/>
        <w:suppressAutoHyphens/>
        <w:ind w:left="0" w:right="57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01"/>
      <w:bookmarkEnd w:id="0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Настоящий Порядок разработан в соответствии с Бюджетным кодексом Российской Федерации, постановлением Правительства Российской Федерации </w:t>
      </w:r>
      <w:r w:rsidR="00D97EB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Бюджетным кодексом Республики Татарстан, постановлением Кабинета Министров Республики Татарстан от 27.12.2022 № 1429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br/>
        <w:t>«Об утверждении государственной программы Республики Татарстан</w:t>
      </w:r>
      <w:bookmarkStart w:id="1" w:name="ext-gen1623"/>
      <w:bookmarkEnd w:id="1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«Научно-технологическое развитие Республики Татарстан» и определяет условия и порядок предоставления гранта в форме субсидии образовательным организациям высшего образования, научным и иным организациям на </w:t>
      </w:r>
      <w:r w:rsidR="002177D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обеспечение расходов, связанных с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поддержк</w:t>
      </w:r>
      <w:r w:rsidR="002177D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в части стимулирования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их научных и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научно-педагогических работников к защите докторских диссертаций и выполнению научно-исследовательских работ (далее – грант).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1.2. Для целей настоящего Порядка используются следующие понятия: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организация, участник отбора – образовательная организация высшего образования, научная организация, иная организация независимо от формы собственности и ведомственной принадлежности, осуществляющая деятельность на территории Республики Татарстан, принимающая участие в отборе;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проект – научное исследование, представленное для участия </w:t>
      </w:r>
      <w:r w:rsidR="009D324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отборе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организованном организацией, содержащее описание проекта, подтверждающее уникальность и новизну проекта, а также расходы по направлениям, указанным в пункте 2.1 настоящего Порядка, и поддержанный решением организации;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автор научного проекта –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научный или научно-педагогический работник, имеющий ученую степень кандидата наук либо ученую степень, полученную в иностранном государстве, признаваемую соответствующей ученой степени кандидата наук в Российской Федерации в порядке, установленном законодательством Российской Федерации, осуществляющий трудовую деятельность в организации – участнике отбора, удовлетворяющий требованиям, определенным пунктом 3.3 настоящего Порядка, который инициирует, разрабатывает и реализует научный проект в рамках п</w:t>
      </w:r>
      <w:r w:rsidR="00596C0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лана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 </w:t>
      </w:r>
      <w:r w:rsidR="00596C0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 части стимулирования их научных и научно-педагогических работников к защите докторских диссертаций и выполнению научно-исследовательских работ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 согласен на его выполнение за счет средств гранта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заявка – документы для получения гранта, оформленные в соответствии с требованиями настоящего Порядка;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– договор о предоставлении гранта, заключенный между </w:t>
      </w:r>
      <w:r w:rsidR="0052026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гранто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получателем и Академией наук Республики Татарстан в соответствии с типовой формой, установленной Министерством финансов Российской Федерации;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победитель отбора – заявитель, включенный в перечень, сформированный конкурсной комиссией по результатам ранжирования поступивших заявок в соответствии с пунктом 7.1</w:t>
      </w:r>
      <w:r w:rsidR="006935C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в пределах объема распределяемого гранта, указанного в объявлении о проведении отбора;</w:t>
      </w:r>
    </w:p>
    <w:p w:rsidR="00834536" w:rsidRPr="00D97EBB" w:rsidRDefault="00520260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грантополучатель – победитель отбора, заключивший соглашение с Академией наук Республики Татарстан.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2"/>
      <w:bookmarkStart w:id="3" w:name="sub_102_Копия_1"/>
      <w:bookmarkEnd w:id="2"/>
      <w:bookmarkEnd w:id="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1.3. Грант предоставляется в целях поддержки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планов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организаций в части стимулирования</w:t>
      </w:r>
      <w:r w:rsidR="00E11CD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их научных 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научно-педагогических работников к защите докторских диссертаций и выполнению научно-исследовательских работ (далее –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потенциала)</w:t>
      </w:r>
      <w:r w:rsidR="002177D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повышения престижности и привлекательности указанных профессий, привлечения в научно-образовательный кластер высокоэффективных кадров, поддержки и удержания кадров высокопроизводительного возраста.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3"/>
      <w:bookmarkStart w:id="5" w:name="sub_103_Копия_1"/>
      <w:bookmarkEnd w:id="4"/>
      <w:bookmarkEnd w:id="5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1.4. Главным распорядителем средств бюджета Республики Татарстан,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гранта, является государственное научное бюджетное учреждение «Академия наук Республики Татарстан» (далее – Академия наук Республики Татарстан).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3_Копия_2"/>
      <w:bookmarkEnd w:id="6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Информация о гранте размещается на едином портале бюджетной системы Российской Федерации в информационно-телекоммуникационной сети «Интернет» (далее – единый портал) в разделе «Бюджет</w:t>
      </w:r>
      <w:bookmarkStart w:id="7" w:name="_Hlk199164760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7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порядке, установленном Министерством финансов Российской Федерации.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1.5. Грант предоставляется организациям в пределах бюджетных ассигнований и лимитов бюджетных обязательств, доведенных в установленном порядке до Академии наук Республики Татарстан на цели, установленные пунктом 1.3 настоящего Порядка.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1.6. Способом проведения отбора является </w:t>
      </w:r>
      <w:r w:rsidR="00BA370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запрос предложений – проведение отбора исходя из соответствия участников отбора критериям отбора и очередности поступления заявок.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1.7. Отбор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1.8. Доступ участников отбора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1.9. Способом предоставления гранта является финансовое обеспечение затрат.</w:t>
      </w:r>
    </w:p>
    <w:p w:rsidR="00834536" w:rsidRPr="00D97EBB" w:rsidRDefault="00834536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pStyle w:val="aff1"/>
        <w:suppressAutoHyphens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II. Условия предоставления гранта</w:t>
      </w:r>
    </w:p>
    <w:p w:rsidR="00834536" w:rsidRPr="00D97EBB" w:rsidRDefault="00834536" w:rsidP="00B50B43">
      <w:pPr>
        <w:pStyle w:val="aff1"/>
        <w:suppressAutoHyphens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_41"/>
      <w:bookmarkStart w:id="9" w:name="sub_115"/>
      <w:bookmarkEnd w:id="8"/>
      <w:bookmarkEnd w:id="9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2.1. Направления расходов, источником финансового обеспечения которых является грант: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труда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организации, реализующих научные проекты, включенные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начисления на выплаты по оплате труда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организации, реализующих научные проекты, включенные в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</w:t>
      </w:r>
      <w:r w:rsidR="00E11C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работникам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организации, реализующих научные проекты, включенные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организации, командировочных расходов, связанных с реализацией научных проектов;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_32"/>
      <w:bookmarkEnd w:id="10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приобретение и(или) аренда основных средств (за исключением приобретения зданий, сооружений, земельных участков, автомобилей), необходимых для реализации научных проектов, включенных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</w:t>
      </w:r>
      <w:r w:rsidR="002C40A4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_36"/>
      <w:bookmarkEnd w:id="11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оформление результатов интеллектуальной деятельности по научным проектам, включенным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_39"/>
      <w:bookmarkStart w:id="13" w:name="p_37"/>
      <w:bookmarkEnd w:id="12"/>
      <w:bookmarkEnd w:id="1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оплата услуг связи, в том числе информационно-телекоммуникационной сети «Интернет» в целях реализации научных проектов, включенных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p_41_Копия_1"/>
      <w:bookmarkEnd w:id="14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по адаптации, настройке, внедрению и модификации программного обеспечения; расходы по сопровождению программного обеспечения), необходимых для реализации научных проектов, включенных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организации;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p_42"/>
      <w:bookmarkEnd w:id="15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приобретение сырья, расходных материалов, необходимых для реализации научных проектов, включенных в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организации.</w:t>
      </w:r>
      <w:r w:rsidRPr="00D97EBB">
        <w:rPr>
          <w:rStyle w:val="a6"/>
          <w:rFonts w:ascii="Times New Roman" w:hAnsi="Times New Roman" w:cs="Times New Roman"/>
          <w:strike/>
          <w:color w:val="000000" w:themeColor="text1"/>
          <w:sz w:val="28"/>
          <w:szCs w:val="28"/>
        </w:rPr>
        <w:t xml:space="preserve">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2.2.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гранта, предоставляемого организации, определяется пропорционально количеству научных проектов, заявленных в программах развития кадрового потенциала организации, с учетом их типа в соответствии с положениями, установленными пунктами 2.3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2.4,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2.3. Для целей расчета размера гранта научные проекты подразделяются на следующие типы: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 «</w:t>
      </w:r>
      <w:r w:rsidR="00176C6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одготовка к защите докторской диссертации» –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проект, предусматривающий</w:t>
      </w:r>
      <w:r w:rsidR="002C40A4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результата его реализации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издание не менее двух </w:t>
      </w:r>
      <w:bookmarkStart w:id="16" w:name="_Hlk20133320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соответствующих теме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проекта публикаций, в том числе в соавторстве</w:t>
      </w:r>
      <w:bookmarkEnd w:id="16"/>
      <w:r w:rsidR="00C5594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7" w:name="_Hlk203993061"/>
      <w:r w:rsidR="009759D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при условии, что фамилия автора научного проекта будет указана первой в списке авторов соответствующей публикации, </w:t>
      </w:r>
      <w:bookmarkEnd w:id="17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ведущих рецензируемых российских и международных научных изданиях «Белого списка»</w:t>
      </w:r>
      <w:r w:rsidR="00C5594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В случае, если одна и та же публикация индексируется одновременно в нескольких базах данных, включённых в «Белый список», данная публикация учитывается только один раз,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издание (депонирование) соответствующей теме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не менее одной оригинальной авторской (индивидуальной) монографии </w:t>
      </w:r>
      <w:bookmarkStart w:id="18" w:name="_Hlk201585688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первого типа); </w:t>
      </w:r>
      <w:bookmarkEnd w:id="18"/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«Защита докторской диссертации» –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проект, предусматривающий</w:t>
      </w:r>
      <w:r w:rsidR="002C40A4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результата его реализации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прохождение процедуры защиты/предзащиты диссертации на соискание ученой степени доктора наук с получением положительного заключения научной или образовательной организации, где выполнялась диссертация или к которой автор научного проекта прикреплен в качестве соискателя;</w:t>
      </w:r>
    </w:p>
    <w:p w:rsidR="003A19D8" w:rsidRPr="00D97EBB" w:rsidRDefault="00041FB7" w:rsidP="007246EC">
      <w:pPr>
        <w:pStyle w:val="aff1"/>
        <w:suppressAutoHyphens/>
        <w:ind w:left="0"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издание не менее двух соответствующих теме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проекта публикаций, в том числе в соавторстве</w:t>
      </w:r>
      <w:r w:rsidR="00C55945" w:rsidRPr="00D97EBB">
        <w:rPr>
          <w:color w:val="000000" w:themeColor="text1"/>
        </w:rPr>
        <w:t xml:space="preserve"> </w:t>
      </w:r>
      <w:r w:rsidR="00C5594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при условии, что фамилия автора научного проекта будет указана первой в списке авторов соответствующей публикации,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5594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ведущих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рецензируемых научных изданиях, в числе которых могут быть указаны публикации в научных изданиях, индексируемых базой данных RSCI, а также в научных изданиях, индексируемых международными базами данных, перечень которых определен в соответствии с рекомендациями Высшей аттестационной комиссией при Министерстве науки и высшего образования Российской Федерации (ВАК).</w:t>
      </w:r>
      <w:r w:rsidR="003A19D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случае, если одна и та же публикация индексируется одновременно в нескольких базах данных, данная публикация учитывается только один раз</w:t>
      </w:r>
      <w:r w:rsidR="007246E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При расчете размера гранта применяются следующие весовые коэффициенты: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а) для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научного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первого типа – коэффициент 1; </w:t>
      </w:r>
    </w:p>
    <w:p w:rsidR="0083453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для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проекта второго типа – коэффициент 1,5.</w:t>
      </w:r>
    </w:p>
    <w:p w:rsidR="00CC68E6" w:rsidRPr="00D97EBB" w:rsidRDefault="00041FB7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0260B7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C68E6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Размер гранта для организации (</w:t>
      </w:r>
      <w:proofErr w:type="spellStart"/>
      <w:r w:rsidR="00CC68E6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CC68E6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="00CC68E6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) рассчитывается созданной Академией наук Республики Татарстан экспертной комиссией на основании сведений, представленных организациями в составе заявок на участие в отборе, по следующей формуле: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68E6" w:rsidRPr="00D97EBB" w:rsidRDefault="00CC68E6" w:rsidP="00B50B43">
      <w:pPr>
        <w:pStyle w:val="aff1"/>
        <w:suppressAutoHyphens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= S × (N₁ᵢ + 1,5 × N₂ᵢ) / (∑ᴹⱼ₌₁N₁ⱼ + 1,5 × ∑ᴹⱼ₌₁N₂ⱼ),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где: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– размер гранта, предоставляемого i-й организации;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S – общий объем бюджетных ассигнований, предусмотренных Академией наук Республики Татарстан на поддержку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планов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N₁ᵢ – количество научных проектов первого типа, представленных i-</w:t>
      </w:r>
      <w:proofErr w:type="gramStart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й  организацией</w:t>
      </w:r>
      <w:proofErr w:type="gramEnd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составе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отборе;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N₂ᵢ – количество научных проектов второго типа, представленных i-й организацией в составе 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отборе;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M – общее число организаций, принимающих участие в отборе;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∑ᴹⱼ₌₁N₁ⱼ – суммарное количество научных проектов первого типа организаций, получающих грант в соответствующем финансовом году по итогам решения экспертной комиссии; </w:t>
      </w:r>
    </w:p>
    <w:p w:rsidR="00CC68E6" w:rsidRPr="00D97EBB" w:rsidRDefault="00CC68E6" w:rsidP="00B50B43">
      <w:pPr>
        <w:pStyle w:val="aff1"/>
        <w:suppressAutoHyphens/>
        <w:ind w:left="0"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∑ᴹⱼ₌₁N₂ⱼ – суммарное количество научных проектов второго типа организаций, получающих грант в соответствующем финансовом году по итогам решения экспертной комиссии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85272" w:rsidRPr="00D97EBB" w:rsidRDefault="004D483D" w:rsidP="00B50B43">
      <w:pPr>
        <w:pStyle w:val="aff1"/>
        <w:suppressAutoHyphens/>
        <w:ind w:left="0"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2.5.</w:t>
      </w:r>
      <w:r w:rsidR="0048527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Размеры финансовой поддержки одного научного проекта первого типа и одного проекта второго типа определяются в соответствии с пунктом 2.4 настоящего Порядка. </w:t>
      </w:r>
    </w:p>
    <w:p w:rsidR="004D483D" w:rsidRPr="00D97EBB" w:rsidRDefault="007C6B99" w:rsidP="00B50B43">
      <w:pPr>
        <w:pStyle w:val="aff1"/>
        <w:suppressAutoHyphens/>
        <w:ind w:left="0"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</w:t>
      </w:r>
      <w:r w:rsidR="0048527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финансовой поддержки одного научного проекта первого типа не может быть менее 400 тыс. рублей.</w:t>
      </w:r>
    </w:p>
    <w:p w:rsidR="00485272" w:rsidRPr="00D97EBB" w:rsidRDefault="00485272" w:rsidP="00B50B43">
      <w:pPr>
        <w:pStyle w:val="aff1"/>
        <w:suppressAutoHyphens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финансовой поддержки одного научного проекта второго типа не может быть менее 600 тыс. рублей. 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16"/>
      <w:bookmarkEnd w:id="19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Результат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гранта явл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яет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ся: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реализация не менее одно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го плана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20" w:name="_Hlk201593237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развития кадрового потенциала организации</w:t>
      </w:r>
      <w:bookmarkEnd w:id="20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в том числе: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а) количество реализованных научных проектов первого типа, установленное соглашением;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количество реализованных научных проектов второго типа, установленное соглашением. </w:t>
      </w:r>
    </w:p>
    <w:p w:rsidR="00BE3B5B" w:rsidRPr="00D97EBB" w:rsidRDefault="00BE3B5B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 признается реализованн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при одновременном выполнении следующих условий: </w:t>
      </w:r>
    </w:p>
    <w:p w:rsidR="00BE3B5B" w:rsidRPr="00D97EBB" w:rsidRDefault="00BE3B5B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успешно реализованных научных проектов первого типа составляет не менее 85 процентов от общего числа проектов первого типа, предусмотренных соглашением, </w:t>
      </w:r>
    </w:p>
    <w:p w:rsidR="00BE3B5B" w:rsidRPr="00D97EBB" w:rsidRDefault="00BE3B5B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количество успешно реализованных научных проектов второго типа составляет не менее 85 процентов от общего числа проектов второго типа, предусмотренных соглашением</w:t>
      </w:r>
      <w:r w:rsidR="00BC4A8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1149" w:rsidRPr="00D97EBB" w:rsidRDefault="00BC4A82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публикации, выполненные в рамках реализации научных проектов первого и второго типов содержат в разделе «</w:t>
      </w:r>
      <w:proofErr w:type="spellStart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Acknowledgments</w:t>
      </w:r>
      <w:proofErr w:type="spellEnd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» / «Благодарности» следующий текст: «Работа выполнена за счет гранта, предоставленного Академией наук Республики Татарстан в соответствии с постановлением Кабинета Министров Республики Татарстан</w:t>
      </w:r>
      <w:r w:rsidR="001A157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от ___.____.___ № ___ «Об утверждении Порядка 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их научных и научно-педагогических работников к защите докторских диссертаций и выполнению научно-исследовательских работ»</w:t>
      </w:r>
      <w:r w:rsidR="00300BC4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4536" w:rsidRPr="00D97EBB" w:rsidRDefault="002177D3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Датой завершения достижения результат</w:t>
      </w:r>
      <w:r w:rsidR="00C86F5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гранта является        </w:t>
      </w:r>
      <w:r w:rsidR="0022098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BE3B5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2026 года. </w:t>
      </w:r>
    </w:p>
    <w:p w:rsidR="00834536" w:rsidRPr="00D97EBB" w:rsidRDefault="00834536" w:rsidP="00013EDC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pStyle w:val="aff1"/>
        <w:suppressAutoHyphens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III. 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Критерии отбора</w:t>
      </w:r>
      <w:r w:rsidR="0052026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и требования к участникам отбора</w:t>
      </w:r>
    </w:p>
    <w:p w:rsidR="00834536" w:rsidRPr="00D97EBB" w:rsidRDefault="00834536" w:rsidP="00B50B43">
      <w:pPr>
        <w:pStyle w:val="aff1"/>
        <w:suppressAutoHyphens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Критерии отбора</w:t>
      </w:r>
      <w:r w:rsidR="00C14D7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A11CC" w:rsidRPr="00D97EBB" w:rsidRDefault="004800A2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62"/>
      <w:bookmarkEnd w:id="21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6A11C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является образовательной организацией высшего образования, научной организацией или иной организацией независимо от организационно-правовой формы и ведомственной принадлежности</w:t>
      </w:r>
      <w:r w:rsidR="001D223A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800A2" w:rsidRPr="00D97EBB" w:rsidRDefault="004800A2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62_Копия_1"/>
      <w:bookmarkStart w:id="23" w:name="sub_1062_Копия_1_Копия_1"/>
      <w:bookmarkEnd w:id="22"/>
      <w:bookmarkEnd w:id="2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б) участник отбора осуществляет деятельность на территории Республики Татарстан и уплачивает налоги в бюджет Республики Татарстан не менее трех лет до даты размещения объявления о проведении отбора;</w:t>
      </w:r>
    </w:p>
    <w:p w:rsidR="00C14D78" w:rsidRPr="00D97EBB" w:rsidRDefault="00C14D78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в) участник отбора </w:t>
      </w:r>
      <w:r w:rsidR="004800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имеет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потенциала, включающ</w:t>
      </w:r>
      <w:r w:rsidR="006A11C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й перечень научных проектов первого и второго типов, поддержку реализации которых предлагается осуществить за счет средств гранта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на период до конца 2026 года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34536" w:rsidRPr="00D97EBB" w:rsidRDefault="00041FB7" w:rsidP="00B50B43">
      <w:pPr>
        <w:shd w:val="clear" w:color="auto" w:fill="FFFFFF"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3.2. Требования, которым должен соответствовать участник отбора по состоянию на даты рассмотрения заявки и заключения соглашения: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bookmarkStart w:id="24" w:name="_Hlk20175715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–</w:t>
      </w:r>
      <w:bookmarkEnd w:id="24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 получает средства из бюджета Республики Татарстан на основании иных нормативных правовых актов Республики Татарстан на цели, установленные настоящим Порядком;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сборов, страховых взносов в бюджеты бюджетной системы Российской Федерации;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 участника отбора отсутствуют просроченная задолженность по возврату в бюджет Республики Татарстан иных субсидий, бюджетных инвестиций, а также иная просроченная (неурегулированная) задолженность по денежным обязательствам перед Республикой Татарстан (за исключением случаев, установленных Кабинетом Министров Республики Татарстан);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 находится в процессе реорганизации (за исключением реорганизации в форме присоединения к организации другого юридического лица), ликвидации, в отношении нее не введена процедура банкротства, деятельность организации не приостановлена в порядке, предусмотренном законодательством Российской Федерации;</w:t>
      </w:r>
    </w:p>
    <w:p w:rsidR="00F81FB5" w:rsidRPr="00D97EBB" w:rsidRDefault="00041FB7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F81FB5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авторы научных проектов и научные проекты, заявленные участником отбора, должны соответствовать требованиям, предусмотренны</w:t>
      </w:r>
      <w:r w:rsidR="00FD47A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соответственно пунктами 3.3 и 3.4 настоящего Порядка.</w:t>
      </w:r>
    </w:p>
    <w:p w:rsidR="00834536" w:rsidRPr="00D97EBB" w:rsidRDefault="00041FB7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bookmarkStart w:id="25" w:name="_Hlk201587093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Требования, которым должен соответствовать автор научного проекта по состоянию на даты рассмотрения заявки, заключения соглашения с победителем отбора и на протяжении всего периода его реализации:</w:t>
      </w:r>
      <w:bookmarkEnd w:id="25"/>
    </w:p>
    <w:p w:rsidR="00834536" w:rsidRPr="00D97EBB" w:rsidRDefault="00041FB7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а) имеет ученую степень кандидата наук либо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ученую степень, полученную в иностранном государстве, признаваемую соответствующей ученой степени кандидата наук в Российской Федерации в порядке, установленном законодательством Российской Федерации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A11CC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осуществляет трудовую деятельность в </w:t>
      </w:r>
      <w:r w:rsidR="00BE3B5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рганизации</w:t>
      </w:r>
      <w:r w:rsidR="004800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являющейся участником отбора</w:t>
      </w:r>
      <w:r w:rsidR="006A11C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научную (научно-техническую), либо педагогическую деятельность, либо связанную с ней иную деятельность, на условиях трудового договора;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в) имеет за последние 10 лет по теме научного проекта публикации в рецензируемых научных изданиях, в числе которых могут быть указаны публикации в научных изданиях, индексируемых базой данных RSCI, а также в научных изданиях, индексируемых международными базами данных, перечень которых определен в соответствии с рекомендациями Высшей аттестационной комиссией при Министерстве науки и высшего образования Российской Федерации (ВАК):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 историческим, педагогическим, политическим, психологическим, социологическим, филологическим, философским, экономическим, юридическим отраслям науки, искусствоведению, культурологии и теологии – не менее 1</w:t>
      </w:r>
      <w:r w:rsidR="00BE3B5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по остальным отраслям науки – не менее </w:t>
      </w:r>
      <w:r w:rsidR="00BE3B5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д)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е) не получает финансирование из бюджета Республики Татарстан на выполнение 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научного п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роекта на основании иных нормативных правовых актов Республики Татарстан;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ж)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з) не имеет непогашенную или неснятую судимость за совершение умышленного преступления;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и) в отношении него не введена процедура банкротства в порядке, предусмотренном законодательством Российской Федерации;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к) не являлся </w:t>
      </w:r>
      <w:r w:rsidR="0052026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гранто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получателем </w:t>
      </w:r>
      <w:r w:rsidR="0052026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по Конкурсу Академии наук Республики Татарстан на предоставление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грант</w:t>
      </w:r>
      <w:r w:rsidR="00520260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молодым кандидатам наук (</w:t>
      </w:r>
      <w:proofErr w:type="spellStart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постдокторантам</w:t>
      </w:r>
      <w:proofErr w:type="spellEnd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) с целью защиты ими докторских диссертаций, выполнения научно-исследовательских работ в рамках исполнения трудовых функций в научных и образовательных организациях Республики Татарстан, в 2024 году.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Требования, которым должен соответствовать научный проект по состоянию на даты рассмотрения заявки, заключения соглашения с победителем отбора и на протяжении всего периода его реализации: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а) научный проект должен быть соответствовать приоритетам научно-технологического развития Российской Федерации и Республики Татарстан, закрепленны</w:t>
      </w:r>
      <w:r w:rsidR="00FD47A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в Стратегии научно-технологического развития Российской Федерации, утвержденной Указом Президента Российской Федерации от 1 декабря 2016 года № 642 «О Стратегии научно-технологического развития Российской Федерации»,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года», в государственной программе «Научно-технологическое развитие Республики Татарстан», утвержденной постановлением Кабинета Министров Республики Татарстан от 27.12.2022 № 1429 «Об утверждении государственной программы Республики Татарстан «Научно-технологическое развитие Республики Татарстан»;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б) научный проект не может получать финансирование из бюджета Республики Татарстан на его выполнение на основании иных нормативных правовых актов Республики Татарстан;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в) научный проект</w:t>
      </w:r>
      <w:r w:rsidR="00FD47A3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не реализовывался за счет средств гранта, выданного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 Академии наук Республики Татарстан на предоставление грантов молодым кандидатам наук (</w:t>
      </w:r>
      <w:proofErr w:type="spellStart"/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постдокторантам</w:t>
      </w:r>
      <w:proofErr w:type="spellEnd"/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) с целью защиты ими докторских диссертаций, выполнения научно-исследовательских работ в рамках исполнения трудовых функций в научных и образовательных организациях Республики Татарстан, в 2024 году.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 несет ответственность за соответствие авторов научных проектов, а также самих научных проектов требованиям, предусмотренным соответственно пунктами 3.3 и 3.4 настоящего Порядка.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Проверка участника отбора на соответствие требованиям, определенным пунктом 3.2 настоящего Порядка, осуществляется автоматически в системе «Электронный бюджет» на основании данных государственных информационных систем, обеспечивающих проведение отбора (далее – государственная информационная система), в том числе с использованием единой системы межведомственного электронного взаимодействия.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Академия наук Республики Татарстан не вправе требовать представление документов, подтверждающих соответствие участника отбора требованиям, определенным пунктом 3.2 настоящего Порядка, при наличии соответствующей информации в государственных информационных системах, доступ к которым имеется у Академии наук Республики Татарстан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 Академию наук Республики Татарстан по собственной инициативе.</w:t>
      </w:r>
    </w:p>
    <w:p w:rsidR="00834536" w:rsidRPr="00D97EBB" w:rsidRDefault="00041FB7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Подтверждение соответствия участника отбора требованиям, определенным пунктом 3.2 настоящего Порядка, в случае отсутствия технической возможности осуществления автоматической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834536" w:rsidRPr="00D97EBB" w:rsidRDefault="00834536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IV. Порядок формирования и размещения объявления о проведении отбора</w:t>
      </w:r>
    </w:p>
    <w:p w:rsidR="00834536" w:rsidRPr="00D97EBB" w:rsidRDefault="00834536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4.1. Объявление о проведении отбора размещается не позднее 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пяти рабочих дней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формирования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объявления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Академией наук Республики Татарстан в системе «Электронный бюджет» после подписания усиленной квалифицированной электронной подписью руководителя Академии наук Республики Татарстан (уполномоченного им лица) и публикации на едином портале информации о гранте.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4.2. Объявление о проведении отбора формируется в электронной форме посредством заполнения Академией наук Республики Татарстан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Академии наук Республики Татарстан (уполномоченного им лица), публикуется на едином портале, включает в себя следующую информацию: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сроки проведения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даты начала подачи и окончания приема заявок, при этом дата окончания приема заявок не может быть ранее </w:t>
      </w:r>
      <w:r w:rsidR="008D47A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пятого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наименование, место нахождения, почтовый адрес, адрес электронной почты Академии наук Республики Татарстан;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результат предоставления гранта в соответствии с пунктом 2.</w:t>
      </w:r>
      <w:r w:rsidR="002827B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:rsidR="00C14D78" w:rsidRPr="00D97EBB" w:rsidRDefault="008D47A1" w:rsidP="00B50B43">
      <w:pPr>
        <w:widowControl/>
        <w:suppressAutoHyphens/>
        <w:overflowPunct w:val="0"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критерии отбора</w:t>
      </w:r>
      <w:r w:rsidR="00C14D7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определенные пунктом 3.1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требования к участникам отбора, определенные пунктом 3.2 настоящего Порядка, которым участник отбора должен соответствовать на даты, определенные настоящим Порядком, и к перечню документов, представляемых участниками отбора для подтверждения соответствия указанным требованиям;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требования, которым должен соответствовать автор научного проекта по состоянию на даты рассмотрения заявки, заключения соглашения с победителем отбора и на протяжении всего периода его реализации, определенные пунктом 3.3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требования, которым должен соответствовать научный проект по состоянию на даты рассмотрения заявки, заключения соглашения и на протяжении всего периода его реализации, определенные пунктом 3.</w:t>
      </w:r>
      <w:r w:rsidR="00F81FB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подачи участниками отбора заявок и требования, предъявляемые к форме и содержанию заявок в соответствии с пунктами 6.1 – 6.7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 в соответствии с пунктом 6.8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правила рассмотрения заявок в соответствии с пунктами 7.1 – 7.10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возврата заявок на доработку;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отклонения заявок, а также информацию об основаниях их отклонения в соответствии с пунктом 7.9 настоящего Порядка;</w:t>
      </w:r>
    </w:p>
    <w:p w:rsidR="00834536" w:rsidRPr="00D97EBB" w:rsidRDefault="00CC68E6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расчета объем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распределяемого гранта в рамках отбора, установленный 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</w:t>
      </w:r>
      <w:r w:rsidR="00093E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2.4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Порядком;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пунктами 6.9 – 6.11 настоящего Порядка;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срок, в течение которого победитель отбора должен подписать соглашение в соответствии с пунктом 8.1 настоящего Порядка;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порядок и случаи отмены проведения отбора, случаи признания отбора несостоявшимся и случаи заключения соглашения по итогам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условия признания победителя отбора уклонившимся от заключения соглашения в соответствии с пунктом 8.5 настоящего Порядка;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сроки размещения протокола подведения итогов отбора на едином портале, а также на официальном сайте Академии наук Республики Татарстан (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https://anrt.tatarstan.ru/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972D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4.3. Внесение изменений в объявление о проведении отбора осуществляется в порядке, аналогичном порядку формирования объявления о проведении отбора, установленному пунктом 4.2 настоящего Порядка, не позднее наступления даты окончания приема заявок с соблюдением следующих условий: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подачи заявок должен быть продлен таким образом, чтобы со дня, следующего за днем внесения таких изменений, до даты окончания приема заявок этот срок составлял не менее 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 дней;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при внесении изменений в объявление о проведении отбора не допускается изменение способа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положение, предусматривающее право участников отбора внести изменения в заявки в соответствии с пунктом 6.9 настоящего Порядка;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участники отбора,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с использованием системы «Электронный бюджет».</w:t>
      </w:r>
    </w:p>
    <w:p w:rsidR="00834536" w:rsidRPr="00D97EBB" w:rsidRDefault="00834536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V. Порядок отмены проведения отбора</w:t>
      </w:r>
    </w:p>
    <w:p w:rsidR="00834536" w:rsidRPr="00D97EBB" w:rsidRDefault="00834536" w:rsidP="00B50B43">
      <w:pPr>
        <w:suppressAutoHyphens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5.1. Размещение Академией наук Республики Татарстан объявления об отмене проведения отбора на едином портале допускается не позднее чем за один рабочий день до даты окончания срока подачи заявок участниками отбора.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5.2. Объявление об отмене проведения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Академии наук Республики Татарстан (уполномоченного им лица), размещается на едином портале и содержит информацию о причинах отмены отбора.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5.3. Случаем отмены отбора является отзыв лимитов бюджетных обязательств, доведенных до Академии наук Республики Татарстан на цели, указанные в пункте 1.3 настоящего Порядка.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5.4. Участники отбора, подавшие заявки, информируются об отмене проведения отбора в системе «Электронный бюджет».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5.5. Отбор считается отмененным со дня размещения объявления о его отмене на едином портале.</w:t>
      </w:r>
    </w:p>
    <w:p w:rsidR="00C14D78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5.6. После окончания срока отмены проведения отбора в соответствии с пунктом 5.1 настоящего Порядка и до заключения соглашения с организацией, признанной победителем отбора</w:t>
      </w:r>
      <w:r w:rsidR="0040387F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00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Академия наук Республики Татарстан </w:t>
      </w:r>
      <w:r w:rsidR="00D13DF8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834536" w:rsidRPr="00D97EBB" w:rsidRDefault="00834536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VI. Порядок формирования и подачи заявок организациями </w:t>
      </w:r>
    </w:p>
    <w:p w:rsidR="00834536" w:rsidRPr="00D97EBB" w:rsidRDefault="00834536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6.1. </w:t>
      </w:r>
      <w:r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>Участник отбора</w:t>
      </w:r>
      <w:r w:rsidRPr="00D97EBB">
        <w:rPr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 формирует и подает заявку в сроки, указанные в объявлении о проведении отбора, в электронной форме посредством заполнения соответствующих экранных форм веб-интерфейса системы «Электронный бюджет» и представляет в систему «Электронный бюджет»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>а) учредительных документов</w:t>
      </w:r>
      <w:r w:rsidR="004800A2"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 участника отбора</w:t>
      </w:r>
      <w:r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 xml:space="preserve">, заверенных руководителем (уполномоченным им лицом) </w:t>
      </w:r>
      <w:r w:rsidR="004800A2"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>участника отбора</w:t>
      </w:r>
      <w:r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>, а также документов о внесении всех изменений в них, заверенных руководителем участника отбора либо иным уполномоченным лицом при наличии надлежащим образом оформленных полномочий (с приложением копии доверенности, оформленной в соответствии с законодательством Российской Федерации), а также документов обо всех изменениях к ним;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участника отбора, включающе</w:t>
      </w:r>
      <w:r w:rsidR="006A11C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научных проектов первого и второго типов, поддержку которых предлагается осуществить за счет средств гранта;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62245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гарантийного письма, подписанного руководителем участника отбора (уполномоченным им лицом) </w:t>
      </w:r>
      <w:r w:rsidR="003F46E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 том, что авторы и их научных проекты соответствуют требованиям, определенным пунктами 3.3. и 3.</w:t>
      </w:r>
      <w:r w:rsidR="0027698F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F46E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с приложением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справк</w:t>
      </w:r>
      <w:r w:rsidR="003F46E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с обобщенными данными о квалификации научно-педагогических работников, </w:t>
      </w:r>
      <w:r w:rsidR="00CC5321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реализующих научные проекты в рамках плана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участника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оформленную на бланке участника отбора и заверенную руководителем (уполномоченным им лицом) участника отбора, печатью участника отбора, а также подписью начальника отдела кадров или руководителя научного подразделения участника отбора, зарегистрированную участником отбора датой не ранее начала объявления отбора, по форме, установленной Приложение 1 к настоящему Порядку; 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г) согласий авторов </w:t>
      </w:r>
      <w:r w:rsidR="0040387F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проектов на реализацию научного проекта в составе п</w:t>
      </w:r>
      <w:r w:rsidR="005E217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лана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участника отбора, включающе</w:t>
      </w:r>
      <w:r w:rsidR="006A11CC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научных проектов первого и второго типов, поддержку которых предлагается осуществить за счет средств гранта;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д) гарантийного письма, подписанного руководителем участника отбора</w:t>
      </w:r>
      <w:r w:rsidR="0062245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(уполномоченным им лицом)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о том, что участник отбора не находится в процессе реорганизации (за исключением реорганизации в форме присоединения к организации другого юридического лица), ликвидации, в отношении участника отбора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е) гарантийного письма, подписанного руководителем участника отбора, о том, что участник отбора не является иностранным юридическим лицом, в том числе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ж) гарантийного письма, подписанного руководителем участника отбора, о том, что участник отбора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з) гарантийного письма, подписанного руководителем </w:t>
      </w:r>
      <w:r w:rsidR="004800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участника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о том, что </w:t>
      </w:r>
      <w:r w:rsidR="004800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не получает средства из бюджета Республики Татарстан на основании иных нормативных правовых актов Республики Татарстан на цели, указанные в пункте 1.3 настоящего Порядка;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и) гарантийного письма, подписанного руководителем участника отбора, о том, что участник отбора не имеет просроченной задолженности по возврату в бюджет Республики Татарстан иных субсидий, бюджетных инвестиций, а также иной просроченной (неурегулированной) задолженности по денежным обязательствам перед Республикой Татарстан (за исключением случаев, установленных Кабинетом Министров Республики Татарстан).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6.2. Участник отбора вправе по собственной инициативе представить </w:t>
      </w:r>
      <w:r w:rsidRPr="00D97EBB">
        <w:rPr>
          <w:rStyle w:val="a6"/>
          <w:rFonts w:ascii="Times New Roman" w:eastAsia="DejaVu Sans" w:hAnsi="Times New Roman" w:cs="Times New Roman"/>
          <w:color w:val="000000" w:themeColor="text1"/>
          <w:sz w:val="28"/>
          <w:szCs w:val="28"/>
        </w:rPr>
        <w:t>электронные копии следующих документов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а) справки об исполнении обязанности по уплате налогов, сборов, страховых взносов, пеней, штрафов, процентов по состоянию на дату формирования справки на основании данных налогового органа в электронной форме по телекоммуникационным каналам связи или через личный кабинет налогоплательщика либо на бумажном носителе по форме, утвержденной приказом Федеральной налоговой службы от 23 ноября 2022 г. № ЕД-7-8/1123@ «Об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форме»;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б) выписки из реестра дисквалифицированных лиц и (или) справку об отсутствии запрашиваемой информации по формам, утвержденным приказом Федеральной налоговой службы от 31 декабря 2014 г. № НД-7-14/700@ «Об утверждении порядка предоставления сведений, содержащихся в реестре дисквалифицированных лиц, форм выписки из реестра дисквалифицированных лиц и справки об отсутствии запрашиваемой информации», на руководителя, членов коллегиального исполнительного органа, лиц, исполняющих функции единоличного исполнительного органа, или главного бухгалтера </w:t>
      </w:r>
      <w:r w:rsidR="005E217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участника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в) сведений из перечня организаций и физических лиц, в отношении которых имеются сведения об их причастности к экстремистской деятельности или терроризму, и перечня организаций и физических лиц, связанных с террористическими организациями и террористами или с распространением оружия массового уничтожения, формируемых Федеральной службой по финансовому мониторингу, об отсутствии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участника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указанных перечнях.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случае непредставления участником отбора документов, указанных в настоящем пункте, Академия наук Республики Татарстан запрашивает указанные документы в порядке межведомственного информационного взаимодействия.</w:t>
      </w:r>
    </w:p>
    <w:p w:rsidR="00834536" w:rsidRPr="00D97EBB" w:rsidRDefault="00041FB7" w:rsidP="00B50B43">
      <w:pPr>
        <w:pStyle w:val="a0"/>
        <w:suppressAutoHyphens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Каждый участник отбора вправе подать не более одной заявки.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6.3. Заявка должна содержать следующие сведения: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информацию об </w:t>
      </w:r>
      <w:bookmarkStart w:id="26" w:name="_Hlk198549455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bookmarkEnd w:id="26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частнике отбора: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полное и сокращенное наименование </w:t>
      </w:r>
      <w:bookmarkStart w:id="27" w:name="_Hlk198549455_Копия_1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bookmarkEnd w:id="27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частника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государственный регистрационный номер </w:t>
      </w:r>
      <w:bookmarkStart w:id="28" w:name="_Hlk198549455_Копия_2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bookmarkEnd w:id="28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частника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идентификационный номер налогоплательщика;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дату государственной регистрации </w:t>
      </w:r>
      <w:bookmarkStart w:id="29" w:name="_Hlk198549455_Копия_3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bookmarkEnd w:id="29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частника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адрес юридического лица;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5839E5" w:rsidRPr="00D97EBB" w:rsidRDefault="00041FB7" w:rsidP="00B50B43">
      <w:pPr>
        <w:suppressAutoHyphens/>
        <w:ind w:firstLine="709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информация о руководителе участника отбора (фамилия, имя, отчество (при наличии), идентификационный номер налогоплательщика, должность);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основных и дополнительных видов деятельности, которые участник отбора вправе осуществлять в соответствии с учредительными документами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участника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информация о счетах в соответствии с законодательством Российской Федерации для перечисления гранта, а также о лице, уполномоченном на подписание соглашения;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в) подтверждение согласия на публикацию (размещение) </w:t>
      </w:r>
      <w:bookmarkStart w:id="30" w:name="_Hlk202779262"/>
      <w:r w:rsidR="00720C14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bookmarkEnd w:id="30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информации об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участнике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, о подаваемой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участником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заявке, а также иной информации об </w:t>
      </w:r>
      <w:r w:rsidR="005E2175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участнике отборе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связанной с соответствующим отбором и результатом предоставления гранта, подаваемое посредством заполнения соответствующих экранных форм веб-интерфейса системы «Электронный бюджет»;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г) предлагаемые </w:t>
      </w:r>
      <w:bookmarkStart w:id="31" w:name="_Hlk198549455_Копия_4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</w:t>
      </w:r>
      <w:bookmarkEnd w:id="31"/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частником отбора значения результата предоставления гранта, указанные в пункте 2.3 настоящего Порядка.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6.4. Заявка подписывается усиленной квалифицированной электронной подписью руководителя участника отбора (уполномоченного им лица).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6.5.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6.6.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6.7. 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6.8. Участник отбора вправе отозвать заявку в любое время до даты окончания проведения отбора. При необходимости участник отбора вправе подать заявку повторно в срок, определенный для подачи заявок.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6.9. Внесение изменений в заявку или отзыв заявки осуществляется участником отбора в порядке, аналогичном порядку формирования заявки участником отбора, установленному в пункте 5.1 настоящего Порядка.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6.10. Любой участник отбора со дня размещения объявления о проведении отбора на едином портале не позднее пятого рабочего дня до дня завершения подачи заявок вправе направить в Академию наук Республики Татарстан не более двух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6.11. Академия наук Республики Татарстан в ответ на запрос, указанный в пункте 6.10 настоящего Порядка, направляет разъяснение положений объявления о проведении отбора в срок, установленный указанным объявлением, но не позднее одного рабочего дня до завершения подачи заявок путем формирования в системе «Электронный бюджет» соответствующего разъяснения. Представленное Академией наук Республики Татарстан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Доступ к разъяснению, формируемому в системе «Электронный бюджет» в соответствии с абзацем первым настоящего пункта, предоставляется всем участникам отбора.</w:t>
      </w:r>
    </w:p>
    <w:p w:rsidR="007D6ED2" w:rsidRPr="00D97EBB" w:rsidRDefault="007D6ED2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VII. Порядок рассмотрения </w:t>
      </w:r>
      <w:r w:rsidR="00E42E83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оценки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заявок, а также определения победившей в отборе организации </w:t>
      </w:r>
    </w:p>
    <w:p w:rsidR="00834536" w:rsidRPr="00D97EBB" w:rsidRDefault="00834536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7.1. В целях рассмотрения заявок Академией наук Республики Татарстан создается экспертная комиссия, в которую могут быть включены представители Академии наук Республики Татарстан, Министерства образования и науки Республики Татарстан, научного и экспертного сообщества. Состав экспертной комиссии, порядок работы экспертной комиссии утверждается приказом Академии наук Республики Татарстан. 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7.2. Экспертная комиссия формируется из председателя экспертной комиссии, заместителя председателя экспертной комиссии, секретаря экспертной комиссии и членов экспертной комиссии.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экспертной комиссии осуществляет руководство деятельностью экспертной комиссии, утверждает решение экспертной комиссии.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председателя экспертной комиссии его функции исполняет по его поручению заместитель председателя экспертной комиссии.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Секретарь экспертной комиссии осуществляет функции по организации деятельности экспертной комиссии.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7.3. Решения экспертной комиссии принимаются открытым голосованием большинством голосов присутствующих на заседании экспертной комиссии членов. В случае равенства голосов голос председателя является решающим.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Заседание экспертной комиссии считается правомочным, если на нем присутствуют не менее половины ее членов.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7.4. Не позднее одного рабочего дня, следующего за днем окончания срока подачи заявок, установленного в объявлении о проведении отбора, в системе «Электронный бюджет» открывается доступ Академии наук Республики Татарстан, а также экспертной комиссии к поданным участниками отбора заявкам для их рассмотрения.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заявок осуществляются в системе «Электронный бюджет» в течение 15 рабочих дней, следующих за днем открытия доступа Академии наук Республики Татарстан и экспертной комиссии для рассмотрения заявок. 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 системе «Электронный бюджет» Академией наук Республики Татарстан может быть определена дата до окончания срока подачи заявок, после наступления которой Академии наук Республики Татарстан и членам Экспертной комиссии открывается доступ в системе «Электронный бюджет» к поданным участниками отбора заявкам.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7.5. Экспертная комиссия не позднее третьего рабочего дня, следующего за днем вскрытия заявок,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регистрационный номер заявки;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дата и время поступления заявки;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полное наименование участника отбора;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адрес юридического лица.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7.6. Протокол вскрытия заявок формируется на едином портале автоматически и подписывается усиленной квалифицированной электронной подписью председателя экспертной комиссии (уполномоченного им лица) и членов экспертной комиссии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7.7. Заявка признается надлежащей, если она соответствует требованиям, указанным в объявлении о проведении отбора, </w:t>
      </w:r>
      <w:proofErr w:type="gramStart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отсутствуют основания для ее отклонения.</w:t>
      </w:r>
    </w:p>
    <w:p w:rsidR="00AA65E9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соответствии заявки требованиям, указанным в объявлении о проведении отбора, принимается экспертной комиссией на дату получения результатов про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верки представленных участником отбора информации и документов, поданных в составе заявки.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7.8. 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Заявка отклоняется в случае наличия оснований для отклонения заявки, предусмотренных пунктом 7.9 настоящего Порядка.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7.9. Основаниями для отклонения заявки являются: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несоответствие участника отбора критериям и требованиям, определенным настоящим Порядком;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(представление не в полном объеме) документов, определенных настоящим Порядком;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несоответствие представленных документов и (или) заявки требованиям, установленным в объявлении о проведении отбора и определенным настоящим Порядком;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недостоверность информации, содержащейся в документах, представленных в составе заявки;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подача участником отбора заявки после даты и (или) времени, определенных для подачи заявок.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7.1</w:t>
      </w:r>
      <w:r w:rsidR="001438D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. Отбор признается несостоявшимся в следующих случаях: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а) по окончании срока подачи заявок не подано ни одной заявки;</w:t>
      </w:r>
    </w:p>
    <w:p w:rsidR="005839E5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б) по результатам рассмотрения заявок отклонены все заявки.</w:t>
      </w:r>
    </w:p>
    <w:p w:rsidR="00834536" w:rsidRPr="00D97EBB" w:rsidRDefault="00041FB7" w:rsidP="00B50B43">
      <w:pPr>
        <w:widowControl/>
        <w:suppressAutoHyphens/>
        <w:overflowPunct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7.1</w:t>
      </w:r>
      <w:r w:rsidR="001438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Ранжирование поступивших заявок осуществляется исходя из </w:t>
      </w:r>
      <w:r w:rsidR="001438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очередности их поступления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4D78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7.1</w:t>
      </w:r>
      <w:r w:rsidR="00093E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Победителями отбора признаются участники отбора, </w:t>
      </w:r>
      <w:r w:rsidR="001438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включенные в рейтинг, сформированный экспертной комиссией по результатам ранжирования поступивших заявок в пределах объема распределяемо</w:t>
      </w:r>
      <w:r w:rsidR="00CC68E6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го гранта</w:t>
      </w:r>
      <w:r w:rsidR="001438DB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указанного в объявлении о проведении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093EA2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. В целях завершения отбора и определения победивше</w:t>
      </w:r>
      <w:r w:rsidR="0020741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в отборе </w:t>
      </w:r>
      <w:r w:rsidR="0020741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протокол подведения итогов отбора.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и членов экспертной комиссии в системе «Электронный бюджет», а также размещается на едином портале не позднее рабочего дня, следующего за днем его подписания, и на официальном сайте Академии наук Республики Татарстан не позднее 14-го календарного дня, следующего за днем определения победителей отбора, и включает следующие сведения: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дату, время и место проведения рассмотрения заявок;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информацию об участниках отбора, заявки которых были рассмотрены;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об </w:t>
      </w:r>
      <w:r w:rsidR="00995F0D"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участниках отбора</w:t>
      </w: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34536" w:rsidRPr="00D97EBB" w:rsidRDefault="00041FB7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наименование грантополучателей, с которым заключается соглашение, и размер предоставляемого ему гранта.</w:t>
      </w:r>
    </w:p>
    <w:p w:rsidR="00834536" w:rsidRPr="00D97EBB" w:rsidRDefault="00093EA2" w:rsidP="00B50B43">
      <w:pPr>
        <w:widowControl/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7.14. 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в порядке, аналогичном порядку его формирования, установленному абзацем первым настоящего пункта, с указанием причин внесения таких изменений.</w:t>
      </w:r>
    </w:p>
    <w:p w:rsidR="00834536" w:rsidRPr="00D97EBB" w:rsidRDefault="00834536" w:rsidP="00B50B43">
      <w:pPr>
        <w:suppressAutoHyphens/>
        <w:ind w:firstLine="73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I. Порядок заключения соглашения и перечисления гранта</w:t>
      </w:r>
    </w:p>
    <w:p w:rsidR="00834536" w:rsidRPr="00D97EBB" w:rsidRDefault="00834536" w:rsidP="00B50B43">
      <w:pPr>
        <w:suppressAutoHyphens/>
        <w:ind w:firstLine="73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8.1. По результатам отбора Академией наук Республики Татарстан с победителями отбора заключается соглашение в соответствии с типовой формой, утвержденной Министерством финансов Республики Татарстан, не позднее 20-го рабочего дня после определения победителя отбора.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заключается в форме электронного документа в системе «Электронный бюджет» и подписывается усиленной квалифицированной электронной подписью лиц, имеющих право действовать от имени каждой из сторон.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 соглашении предусматривается условие о согласовании новых условий соглашения или о расторжении соглашения при недостижении согласия по новым условиям в случае уменьшения Академии наук Республики Татарстан ранее доведенных лимитов бюджетных обязательств, приводящего к невозможности предоставления гранта в размере, определенном в соглашении.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соглашении предусматривается согласие грантополучателя, а также лиц, получающих средства на основании договоров (соглашений), заключенных с </w:t>
      </w:r>
      <w:r w:rsidR="0020741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грантополучателем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</w:t>
      </w:r>
      <w:r w:rsidR="00652407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Академией наук Республики Татарстан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их проверки соблюдения порядка и условий предоставления гранта, в том числе в части достижения результат</w:t>
      </w:r>
      <w:r w:rsidR="0022098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гранта, а также проверки органами государственного финансового контроля в соответствии со статьями 268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269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(при предоставлении гранта на финансовое обеспечение затрат).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Грантополучателю, а также иным юридическим лицам, получающим средства на основании договоров (соглашений), заключенных с </w:t>
      </w:r>
      <w:r w:rsidR="0020741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грантополучателем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запрещается приобретение за счет полученных из бюджета Республики Татарстан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 (при предоставлении гранта на финансовое обеспечение затрат).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Академия наук Республики Татарстан заключает с грантополучателем дополнительное соглашение к соглашению, в том числе дополнительное соглашение о расторжении соглашения, в соответствии с типовыми формами, установленными Министерством финансов Республики Татарстан.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8.2. При реорганизации грантополучателя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грантополучателя в форме разделения, выделения, а также при ликвидации грантополучателя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</w:t>
      </w:r>
      <w:r w:rsidR="0020741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грантополучателем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обязательствах, источником финансового обеспечения которых является грант, и возврате неиспользованного остатка гранта в бюджет Республики Татарстан.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8.3. Академия наук Республики Татарстан может отказаться от заключения соглашения с победителем отбора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8.4. Победитель отбора признается уклонившимся от заключения соглашения в случае, если в сроки, указанные в объявлении о проведении отбора, не обеспечил подписание соглашения лицом, имеющим право действовать от имени победителя отбора.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8.5. Академия наук Республики Татарстан не позднее пятого рабочего дня со дня установленного в объявлении о проведении отбора срока завершения заключения соглашений принимает решение о предоставлении гранта либо об отказе в предоставлении гранта грантополучателю, которое оформляется приказом Академии наук Республики Татарстан.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8.6. Основаниями для отказа грантополучателю в предоставлении гранта являются: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несоответствие представленных грантополучателем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факта недостоверности представленной грантополучателем информации.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наличия оснований для отказа в предоставлении гранта Академия наук Республики Татарстан направляет уведомление соответствующему грантополучателю с указанием причин отказа в предоставлении гранта в течение пяти календарных дней со дня принятия решения об отказе в предоставлении гранта грантополучателю и заключает соглашение с 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участником отбора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заявка которой имеет следующий в порядке убывания рейтинг заявки после 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отбора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признанн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ями, в пределах объема распределяемого гранта, указанного в объявлении о проведении отбора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8.7. Академия наук Республики Татарстан в 10-дневный срок, исчисляемый в рабочих днях, со дня принятия решения о предоставлении гранта </w:t>
      </w:r>
      <w:r w:rsidR="0020741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грантополучателю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перечисление гранта на расчетный или корреспондентский счет, открытый </w:t>
      </w:r>
      <w:r w:rsidR="0020741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грантополучателем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учреждениях Центрального банка Российской Федерации или кредитных организациях.</w:t>
      </w:r>
    </w:p>
    <w:p w:rsidR="00834536" w:rsidRPr="00D97EBB" w:rsidRDefault="00834536" w:rsidP="00B50B43">
      <w:pPr>
        <w:suppressAutoHyphens/>
        <w:ind w:firstLine="73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3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IX. Порядок представления отчетности, осуществления контроля (мониторинга) за соблюдением условий и порядка предоставления гранта и ответственности за их нарушение</w:t>
      </w:r>
    </w:p>
    <w:p w:rsidR="00834536" w:rsidRPr="00D97EBB" w:rsidRDefault="00834536" w:rsidP="00B50B43">
      <w:pPr>
        <w:suppressAutoHyphens/>
        <w:ind w:firstLine="73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9.1. Грантополучатель представляет ежеквартально, не позднее 15 числа месяца, следующего за отчетным кварталом, через систему «Электронный бюджет» отчеты по форме, предусмотренной типовой формой, установленной Министерством финансов Республики Татарстан для соглашений: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отчет о достижении значений результатов предоставления гранта;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отчет об осуществлении расходов, источником финансового обеспечения которых является грант.</w:t>
      </w:r>
    </w:p>
    <w:p w:rsidR="00A2127A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Итоговый</w:t>
      </w:r>
      <w:r w:rsidR="005839E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отчет об осуществлении расходов, источником финансового обеспечения которых является грант должен быть представлен не позднее 15 января года, следующего за финансовым годом, в котором был предоставлен грант</w:t>
      </w:r>
      <w:r w:rsidR="00A2127A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4536" w:rsidRPr="00D97EBB" w:rsidRDefault="00A2127A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Итоговый отчет о достижении результатов предоставления гранта должен быть представлен не позднее 15 октября года, следующего за финансовым годом, в котором был предоставлен грант.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9.2. Академия наук Республики Татарстан осуществляет проверку представленных грантополучателем отчетов, предусмотренных пунктом 9.1 настоящего Порядка, в течение 20 рабочих дней с даты их получения в системе «Электронный бюджет».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9.3. Академия наук Республики Татарстан осуществляет проверку соблюдения грантополучателем условий и порядка предоставления гранта, в том числе в части достижения результатов предоставления гранта.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Органы государственного финансового контроля осуществляют проверку в соответствии со статьями 268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269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 достижения значений результатов предоставления гранта, определенных соглашением, и событий, отражающих факт завершения соответствующего мероприятия по получению результатов предоставления гранта (контрольная точка), проводится Академией наук Республики Татарстан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9.4. Предоставленный грант подлежит возврату в доход бюджета Республики Татарстан в 30-дневный срок, исчисляемый в календарных днях, со дня получения соответствующего уведомления Академии наук Республики Татарстан</w:t>
      </w:r>
      <w:r w:rsidRPr="00D97EBB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 в случаях: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p_110"/>
      <w:bookmarkEnd w:id="32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грантополучателем условий, установленных при предоставлении гранта, выявленного в том числе по фактам проверок, проведенных Академией наук Республики Татарстан и органами государственного финансового контроля, – в полном объеме;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p_111"/>
      <w:bookmarkEnd w:id="33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грантополучателем недостоверных (неполных) сведений и документов для получения гранта – в полном объеме;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p_112"/>
      <w:bookmarkEnd w:id="34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непредставления отчета об осуществлении расходов, источником финансового обеспечения которых является гранта, отчета о достижении значений результатов предоставления гранта, дополнительной отчетности (при установлении таковой в соглашении) – в полном объеме;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p_113"/>
      <w:bookmarkEnd w:id="35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 грантополучателем значения результата предоставления гранта – в полном объеме;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p_114"/>
      <w:bookmarkEnd w:id="36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нецелевого использования средств гранта – в объеме использованной не по целевому назначению гранта.</w:t>
      </w:r>
    </w:p>
    <w:p w:rsidR="00834536" w:rsidRPr="00D97EBB" w:rsidRDefault="00041FB7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невыполнения грантополучателем части обязательств по реализации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проектов первого и второго типов, предусмотренных соглашением, в общем </w:t>
      </w:r>
      <w:r w:rsidR="00013EDC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объеме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от общего количества всех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проектов, предусмотренных 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планом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</w:t>
      </w:r>
      <w:r w:rsidR="00995F0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грантополучателя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Академия наук Республики Татарстан вправе требовать возврата средств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гранта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пропорционально стоимости нереализованных </w:t>
      </w:r>
      <w:r w:rsidR="0040387F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проектов.</w:t>
      </w:r>
    </w:p>
    <w:p w:rsidR="00834536" w:rsidRPr="00D97EBB" w:rsidRDefault="00041FB7" w:rsidP="00013E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Размер возврата рассчитывается по формуле:</w:t>
      </w:r>
    </w:p>
    <w:p w:rsidR="00834536" w:rsidRPr="00D97EBB" w:rsidRDefault="00041FB7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v</w:t>
      </w:r>
      <w:proofErr w:type="spellEnd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− (</w:t>
      </w:r>
      <w:r w:rsidR="00861621" w:rsidRPr="00D97E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₁ᵢ × C₁ + </w:t>
      </w:r>
      <w:r w:rsidR="00861621" w:rsidRPr="00D97E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₂ᵢ × C₂),</w:t>
      </w:r>
    </w:p>
    <w:p w:rsidR="00834536" w:rsidRPr="00D97EBB" w:rsidRDefault="00834536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</w:p>
    <w:p w:rsidR="00834536" w:rsidRPr="00D97EBB" w:rsidRDefault="00D465FD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v</m:t>
            </m:r>
          </m:sub>
        </m:sSub>
      </m:oMath>
      <w:r w:rsidR="00041FB7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размер средств гранта, подлежащих возврату в бюджет Республики Татарстан, i – ого грантополучателя;</w:t>
      </w:r>
    </w:p>
    <w:p w:rsidR="00834536" w:rsidRPr="00D97EBB" w:rsidRDefault="00D465FD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color w:val="000000" w:themeColor="text1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</m:t>
            </m:r>
          </m:sub>
        </m:sSub>
      </m:oMath>
      <w:r w:rsidR="00041FB7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размер гранта, предоставленный i-ому грантополучателю на основании соглашения;</w:t>
      </w:r>
    </w:p>
    <w:p w:rsidR="00834536" w:rsidRPr="00D97EBB" w:rsidRDefault="00861621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₁ᵢ – количество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нереализованных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научных проектов первого типа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план развития кадрового потенциала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i-ого грантополучателя;</w:t>
      </w:r>
    </w:p>
    <w:p w:rsidR="00834536" w:rsidRPr="00D97EBB" w:rsidRDefault="00861621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₂ᵢ – количество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нереализованных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проектов второго типа,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включенных в план развития кадрового потенциала i-ого грантополучателя;</w:t>
      </w:r>
    </w:p>
    <w:p w:rsidR="00834536" w:rsidRPr="00D97EBB" w:rsidRDefault="00041FB7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C₁ </w:t>
      </w:r>
      <w:bookmarkStart w:id="37" w:name="_Hlk201828069"/>
      <w:bookmarkStart w:id="38" w:name="_Hlk201760166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bookmarkEnd w:id="37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финансовой поддержки одного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проекта первого типа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определ</w:t>
      </w:r>
      <w:r w:rsidR="00485272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яемый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пунктом 2.4 настоящего Порядка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End w:id="38"/>
    </w:p>
    <w:p w:rsidR="00834536" w:rsidRPr="00D97EBB" w:rsidRDefault="00041FB7" w:rsidP="00B50B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C₂ – размер финансовой поддержки одного 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проекта второго типа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определ</w:t>
      </w:r>
      <w:r w:rsidR="002827B2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яемый</w:t>
      </w:r>
      <w:r w:rsidR="0011349E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пунктом 2.4 настоящего Порядка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Академия наук Республики Татарстан в срок, не превышающий 30 календарных дней со дня обнаружения обстоятельств, являющихся в соответствии с абзацами вторым – шестым настоящего пункта основаниями для возврата гранта в бюджет Республики Татарстан, обеспечивает возврат гранта в бюджет Республики Татарстан посредством направления грантополучателю требования о возврате гранта в течение 10 календарных дней со дня получения указанного требования.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9.5. В случае отказа или уклонения грантополучателя от добровольного возврата гранта в бюджет Республики Татарстан Академия наук Республики Татарстан принимает предусмотренные законодательством Российской Федерации меры по его принудительному взысканию.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9.6. Остатки средств, источником финансового обеспечения которых является грант, не использованные в отчетном финансовом году, подлежат возврату в доход бюджета Республики Татарстан не позднее 1 марта года, следующего за отчетным, за исключением случаев принятия Академией наук Республики Татарстан решения о наличии потребности в указанных средствах, в порядке, установленном соглашением.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потребности направления средств, не использованных в отчетном финансовом году, на цели, установленные в пункте 1.3 настоящего Порядка, грантополучатель представляет в Академию наук Республики Татарстан не позднее 15 февраля года, следующего за отчетным, информацию с обоснованием потребности в указанных средствах.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Академия наук Республики Татарстан не позднее 10 календарных дней со дня получения от грантополучателя информации, указанной в абзаце втором настоящего пункта, принимает решение о наличии или об отсутствии потребности в направлении в текущем финансовом году остатка гранта, не использованного в отчетном финансовом году.</w:t>
      </w:r>
    </w:p>
    <w:p w:rsidR="00834536" w:rsidRPr="00D97EBB" w:rsidRDefault="00041FB7" w:rsidP="00B50B43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 Академией наук Республики Татарстан решения о наличии потребности в направлении в текущем финансовом году остатка гранта, не использованного в отчетном финансовом году, между Академией наук Республики Татарстан и грантополучателем заключается дополнительное соглашение к соглашению в пятидневный срок, исчисляемый в рабочих днях, со дня принятия такого решения. Дополнительное соглашение к соглашению заключается в форме электронного документа в системе «Электронный бюджет» и подписывается усиленной квалифицированной электронной подписью лиц, имеющих право действовать от имени каждой из сторон.</w:t>
      </w:r>
    </w:p>
    <w:p w:rsidR="00834536" w:rsidRPr="00D97EBB" w:rsidRDefault="00834536" w:rsidP="00B50B43">
      <w:pPr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834536" w:rsidP="00B50B43">
      <w:pPr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041FB7" w:rsidP="00013EDC">
      <w:pPr>
        <w:suppressAutoHyphens/>
        <w:ind w:left="5103" w:firstLine="0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hAnsi="Times New Roman" w:cs="Times New Roman"/>
          <w:color w:val="000000" w:themeColor="text1"/>
        </w:rPr>
        <w:br w:type="page"/>
      </w:r>
      <w:bookmarkStart w:id="39" w:name="p_634_Копия_1"/>
      <w:bookmarkEnd w:id="39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834536" w:rsidRPr="00D97EBB" w:rsidRDefault="00041FB7" w:rsidP="00B50B43">
      <w:pPr>
        <w:suppressAutoHyphens/>
        <w:ind w:left="5103" w:firstLine="0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их научных и научно-педагогических работников к защите докторских диссертаций и выполнению научно-исследовательских работ</w:t>
      </w:r>
    </w:p>
    <w:p w:rsidR="00834536" w:rsidRPr="00D97EBB" w:rsidRDefault="00834536" w:rsidP="00B50B43">
      <w:pPr>
        <w:suppressAutoHyphens/>
        <w:ind w:left="510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6B50" w:rsidRPr="00D97EBB" w:rsidRDefault="007E6B50" w:rsidP="00B50B43">
      <w:pPr>
        <w:ind w:firstLine="0"/>
        <w:rPr>
          <w:rFonts w:ascii="Times New Roman" w:eastAsia="Times New Roman" w:hAnsi="Times New Roman" w:cs="Times New Roman"/>
          <w:i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i/>
          <w:color w:val="000000" w:themeColor="text1"/>
        </w:rPr>
        <w:t>[Выполняется на бланке Организации]</w:t>
      </w:r>
    </w:p>
    <w:p w:rsidR="003F46EB" w:rsidRPr="00D97EBB" w:rsidRDefault="003F46EB" w:rsidP="00B50B43">
      <w:pPr>
        <w:suppressAutoHyphens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4536" w:rsidRPr="00D97EBB" w:rsidRDefault="003F46EB" w:rsidP="00B50B43">
      <w:pPr>
        <w:suppressAutoHyphens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Гарантийное письмо</w:t>
      </w:r>
    </w:p>
    <w:p w:rsidR="003F46EB" w:rsidRPr="00D97EBB" w:rsidRDefault="003F46EB" w:rsidP="00B50B43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F64F59" w:rsidRPr="00D97EBB" w:rsidRDefault="003F46EB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(наименование юридического лица) (далее 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Организация) подтверждает, что:</w:t>
      </w:r>
    </w:p>
    <w:p w:rsidR="00F64F59" w:rsidRPr="00D97EBB" w:rsidRDefault="00F64F59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авторы научных проектов, включенных в 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 соответствуют требованиям пункта 3.3 Порядка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их научных и научно-педагогических работников к защите докторских диссертаций и выполнению научно-исследовательских работ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утвержденного постановлением Кабинета Министров Республики Татарстан от</w:t>
      </w:r>
      <w:r w:rsidR="000260B7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.____.___ №_____;</w:t>
      </w:r>
    </w:p>
    <w:p w:rsidR="00F64F59" w:rsidRPr="00D97EBB" w:rsidRDefault="00F64F59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– научные проекты, включенные в п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лан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Организации соответствуют требованиям пункта 3.</w:t>
      </w:r>
      <w:r w:rsidR="008B61B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Порядка 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их научных и научно-педагогических работников к защите докторских диссертаций и выполнению научно-исследовательских работ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утвержденного постановлением Кабинета Министров Республики Татарстан от ___.____.___ №_____.</w:t>
      </w:r>
    </w:p>
    <w:p w:rsidR="007E6B50" w:rsidRPr="00D97EBB" w:rsidRDefault="007E6B50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46EB" w:rsidRPr="00D97EBB" w:rsidRDefault="003F46EB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справка с обобщенными данными о квалификации научно-педагогических работников,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реализующих научные проекты в рамках плана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</w:t>
      </w:r>
      <w:r w:rsidR="00995F0D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 стимулирования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и </w:t>
      </w:r>
      <w:r w:rsidR="00F64F59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научно-педагогических работников к защите докторских диссертаций и выполнению научно-исследовательских работ на ___ л. в 1 экз.</w:t>
      </w:r>
    </w:p>
    <w:p w:rsidR="00A93AD3" w:rsidRPr="00D97EBB" w:rsidRDefault="00A93AD3" w:rsidP="00B50B43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3AD3" w:rsidRPr="00D97EBB" w:rsidRDefault="00A93AD3" w:rsidP="00B50B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0B43" w:rsidRPr="00D97EBB" w:rsidRDefault="003F46EB" w:rsidP="00B50B4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</w:t>
      </w:r>
    </w:p>
    <w:p w:rsidR="003F46EB" w:rsidRPr="00D97EBB" w:rsidRDefault="00F64F59" w:rsidP="00B50B4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(уполномоченное лицо) </w:t>
      </w:r>
      <w:r w:rsidR="003F46E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   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6B50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F46E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proofErr w:type="gramStart"/>
      <w:r w:rsidR="003F46E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подпись)</w:t>
      </w:r>
      <w:r w:rsidR="003F46E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3F46E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И.О. Фамилия</w:t>
      </w:r>
    </w:p>
    <w:p w:rsidR="00A93AD3" w:rsidRPr="00D97EBB" w:rsidRDefault="00A93AD3" w:rsidP="00B50B43">
      <w:pPr>
        <w:widowControl/>
        <w:suppressAutoHyphens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93AD3" w:rsidRPr="00D97EBB" w:rsidRDefault="00A93AD3" w:rsidP="00B50B43">
      <w:pPr>
        <w:widowControl/>
        <w:suppressAutoHyphens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93AD3" w:rsidRPr="00D97EBB" w:rsidSect="00013EDC">
          <w:headerReference w:type="default" r:id="rId8"/>
          <w:footerReference w:type="default" r:id="rId9"/>
          <w:pgSz w:w="11906" w:h="16798"/>
          <w:pgMar w:top="1134" w:right="567" w:bottom="1134" w:left="1134" w:header="0" w:footer="0" w:gutter="0"/>
          <w:cols w:space="720"/>
          <w:formProt w:val="0"/>
          <w:titlePg/>
          <w:docGrid w:linePitch="326"/>
        </w:sectPr>
      </w:pPr>
    </w:p>
    <w:p w:rsidR="00A93AD3" w:rsidRPr="00D97EBB" w:rsidRDefault="00A93AD3" w:rsidP="00B50B43">
      <w:pPr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Форма</w:t>
      </w:r>
    </w:p>
    <w:p w:rsidR="00A93AD3" w:rsidRPr="00D97EBB" w:rsidRDefault="00A93AD3" w:rsidP="00B50B43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A93AD3" w:rsidRPr="00D97EBB" w:rsidRDefault="00A93AD3" w:rsidP="00B50B43">
      <w:pPr>
        <w:jc w:val="center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hAnsi="Times New Roman" w:cs="Times New Roman"/>
          <w:color w:val="000000" w:themeColor="text1"/>
        </w:rPr>
        <w:t>СПРАВКА</w:t>
      </w:r>
    </w:p>
    <w:p w:rsidR="00995F0D" w:rsidRPr="00D97EBB" w:rsidRDefault="00A93AD3" w:rsidP="00013ED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обобщенными данными о квалификации 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и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научно-педагогических работников, </w:t>
      </w:r>
      <w:r w:rsidR="005E2175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реализующих научные проекты в рамках плана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кадрового потенциала в части стимулирования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17B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научных и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>научно-педагогических работников к защите</w:t>
      </w:r>
      <w:r w:rsidR="00013EDC"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докторских диссертаций и выполнению научно-исследовательских работ </w:t>
      </w:r>
    </w:p>
    <w:p w:rsidR="00A93AD3" w:rsidRPr="00D97EBB" w:rsidRDefault="00A93AD3" w:rsidP="00B50B43">
      <w:pPr>
        <w:jc w:val="center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</w:t>
      </w:r>
      <w:r w:rsidR="00995F0D" w:rsidRPr="00D97EBB">
        <w:rPr>
          <w:rFonts w:ascii="Times New Roman" w:hAnsi="Times New Roman" w:cs="Times New Roman"/>
          <w:color w:val="000000" w:themeColor="text1"/>
        </w:rPr>
        <w:t>_</w:t>
      </w:r>
    </w:p>
    <w:p w:rsidR="00A93AD3" w:rsidRPr="00D97EBB" w:rsidRDefault="00A93AD3" w:rsidP="00B50B43">
      <w:pPr>
        <w:jc w:val="center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D97EB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(наименование организации)</w:t>
      </w:r>
    </w:p>
    <w:tbl>
      <w:tblPr>
        <w:tblStyle w:val="affa"/>
        <w:tblW w:w="14454" w:type="dxa"/>
        <w:tblLayout w:type="fixed"/>
        <w:tblLook w:val="04A0" w:firstRow="1" w:lastRow="0" w:firstColumn="1" w:lastColumn="0" w:noHBand="0" w:noVBand="1"/>
      </w:tblPr>
      <w:tblGrid>
        <w:gridCol w:w="421"/>
        <w:gridCol w:w="2410"/>
        <w:gridCol w:w="708"/>
        <w:gridCol w:w="708"/>
        <w:gridCol w:w="709"/>
        <w:gridCol w:w="993"/>
        <w:gridCol w:w="1701"/>
        <w:gridCol w:w="1340"/>
        <w:gridCol w:w="644"/>
        <w:gridCol w:w="568"/>
        <w:gridCol w:w="992"/>
        <w:gridCol w:w="567"/>
        <w:gridCol w:w="567"/>
        <w:gridCol w:w="567"/>
        <w:gridCol w:w="1559"/>
      </w:tblGrid>
      <w:tr w:rsidR="00D97EBB" w:rsidRPr="00D97EBB" w:rsidTr="00330C56">
        <w:tc>
          <w:tcPr>
            <w:tcW w:w="421" w:type="dxa"/>
            <w:vMerge w:val="restart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D342B2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научного проекта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Тип научного проекта (1 или 2 тип)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соответствии с п.2.3. Порядка </w:t>
            </w:r>
          </w:p>
        </w:tc>
        <w:tc>
          <w:tcPr>
            <w:tcW w:w="708" w:type="dxa"/>
            <w:vMerge w:val="restart"/>
            <w:textDirection w:val="btL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Соответствие научного проекта приоритетам 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НТР Р</w:t>
            </w:r>
            <w:r w:rsidR="00B45A2B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еспублики </w:t>
            </w: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="00B45A2B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атарстан</w:t>
            </w:r>
          </w:p>
        </w:tc>
        <w:tc>
          <w:tcPr>
            <w:tcW w:w="709" w:type="dxa"/>
            <w:vMerge w:val="restart"/>
            <w:textDirection w:val="btL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Научный проект не получает финансирование из 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бюджета Р</w:t>
            </w:r>
            <w:r w:rsidR="00B45A2B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еспублики Татарстан</w:t>
            </w:r>
          </w:p>
        </w:tc>
        <w:tc>
          <w:tcPr>
            <w:tcW w:w="993" w:type="dxa"/>
            <w:vMerge w:val="restart"/>
            <w:textDirection w:val="btL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Научный проект не был поддержан 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 результатам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Конкурса </w:t>
            </w:r>
            <w:proofErr w:type="spellStart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постдокторантам</w:t>
            </w:r>
            <w:proofErr w:type="spellEnd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2024 году</w:t>
            </w:r>
          </w:p>
        </w:tc>
        <w:tc>
          <w:tcPr>
            <w:tcW w:w="1701" w:type="dxa"/>
            <w:vMerge w:val="restart"/>
            <w:vAlign w:val="cente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Автор научного проекта (ФИО полностью,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дата рождения)</w:t>
            </w:r>
          </w:p>
        </w:tc>
        <w:tc>
          <w:tcPr>
            <w:tcW w:w="1340" w:type="dxa"/>
            <w:vMerge w:val="restart"/>
            <w:vAlign w:val="center"/>
          </w:tcPr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Наличие ученой степени у автора научного проекта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(к.н./ </w:t>
            </w:r>
            <w:proofErr w:type="spellStart"/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Phd</w:t>
            </w:r>
            <w:proofErr w:type="spellEnd"/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),</w:t>
            </w:r>
          </w:p>
          <w:p w:rsidR="00330C56" w:rsidRPr="00D97EBB" w:rsidRDefault="00330C56" w:rsidP="00B50B43">
            <w:pPr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реквизиты подтверж</w:t>
            </w:r>
            <w:r w:rsidR="00D102B5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дающего</w:t>
            </w: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документа</w:t>
            </w:r>
          </w:p>
        </w:tc>
        <w:tc>
          <w:tcPr>
            <w:tcW w:w="644" w:type="dxa"/>
            <w:vMerge w:val="restart"/>
            <w:textDirection w:val="btLr"/>
            <w:vAlign w:val="center"/>
          </w:tcPr>
          <w:p w:rsidR="00330C56" w:rsidRPr="00D97EBB" w:rsidRDefault="00330C56" w:rsidP="00B50B43">
            <w:pPr>
              <w:ind w:left="113" w:right="113" w:hanging="10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Соответствие подпунктам г – к п. 3.3. По</w:t>
            </w:r>
            <w:r w:rsidR="0023721C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рядка</w:t>
            </w:r>
          </w:p>
        </w:tc>
        <w:tc>
          <w:tcPr>
            <w:tcW w:w="3261" w:type="dxa"/>
            <w:gridSpan w:val="5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Информация о научных достижениях автора научного проекта за 10 лет</w:t>
            </w:r>
            <w:r w:rsidR="00CA5265"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 теме научного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Заинтересованность </w:t>
            </w:r>
            <w:proofErr w:type="spellStart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индустри-ального</w:t>
            </w:r>
            <w:proofErr w:type="spellEnd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партнера/ Наличие заказа НИР по теме научного проекта</w:t>
            </w:r>
          </w:p>
        </w:tc>
      </w:tr>
      <w:tr w:rsidR="00D97EBB" w:rsidRPr="00D97EBB" w:rsidTr="00330C56">
        <w:trPr>
          <w:cantSplit/>
          <w:trHeight w:val="3316"/>
        </w:trPr>
        <w:tc>
          <w:tcPr>
            <w:tcW w:w="421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0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4" w:type="dxa"/>
            <w:vMerge/>
          </w:tcPr>
          <w:p w:rsidR="00330C56" w:rsidRPr="00D97EBB" w:rsidRDefault="00330C56" w:rsidP="00B50B4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8" w:type="dxa"/>
            <w:textDirection w:val="btLr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Монографии</w:t>
            </w:r>
          </w:p>
        </w:tc>
        <w:tc>
          <w:tcPr>
            <w:tcW w:w="992" w:type="dxa"/>
            <w:textDirection w:val="btLr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Ядро РИНЦ </w:t>
            </w:r>
          </w:p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(в том числе </w:t>
            </w:r>
            <w:proofErr w:type="spellStart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WoS</w:t>
            </w:r>
            <w:proofErr w:type="spellEnd"/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Scopus</w:t>
            </w: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ВАК</w:t>
            </w: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РИД</w:t>
            </w: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7E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Индекс Хирша</w:t>
            </w:r>
          </w:p>
        </w:tc>
        <w:tc>
          <w:tcPr>
            <w:tcW w:w="1559" w:type="dxa"/>
            <w:vMerge/>
            <w:textDirection w:val="btLr"/>
          </w:tcPr>
          <w:p w:rsidR="00330C56" w:rsidRPr="00D97EBB" w:rsidRDefault="00330C56" w:rsidP="00B50B4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97EBB" w:rsidRPr="00D97EBB" w:rsidTr="00330C56">
        <w:trPr>
          <w:cantSplit/>
          <w:trHeight w:val="319"/>
        </w:trPr>
        <w:tc>
          <w:tcPr>
            <w:tcW w:w="421" w:type="dxa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330C56" w:rsidRPr="00D97EBB" w:rsidRDefault="00330C56" w:rsidP="00B50B43">
            <w:pPr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1/ 2</w:t>
            </w:r>
          </w:p>
        </w:tc>
        <w:tc>
          <w:tcPr>
            <w:tcW w:w="708" w:type="dxa"/>
          </w:tcPr>
          <w:p w:rsidR="00330C56" w:rsidRPr="00D97EBB" w:rsidRDefault="00330C56" w:rsidP="00B50B43">
            <w:pPr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да / нет</w:t>
            </w:r>
          </w:p>
        </w:tc>
        <w:tc>
          <w:tcPr>
            <w:tcW w:w="709" w:type="dxa"/>
          </w:tcPr>
          <w:p w:rsidR="00330C56" w:rsidRPr="00D97EBB" w:rsidRDefault="00330C56" w:rsidP="00B50B43">
            <w:pPr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да/ нет</w:t>
            </w:r>
          </w:p>
        </w:tc>
        <w:tc>
          <w:tcPr>
            <w:tcW w:w="993" w:type="dxa"/>
          </w:tcPr>
          <w:p w:rsidR="00330C56" w:rsidRPr="00D97EBB" w:rsidRDefault="00330C56" w:rsidP="00B50B43">
            <w:pPr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да/ нет</w:t>
            </w:r>
          </w:p>
        </w:tc>
        <w:tc>
          <w:tcPr>
            <w:tcW w:w="1701" w:type="dxa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330C56" w:rsidRPr="00D97EBB" w:rsidRDefault="00330C56" w:rsidP="00B50B43">
            <w:pPr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97EB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да / нет</w:t>
            </w:r>
          </w:p>
        </w:tc>
        <w:tc>
          <w:tcPr>
            <w:tcW w:w="568" w:type="dxa"/>
            <w:textDirection w:val="btLr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330C56" w:rsidRPr="00D97EBB" w:rsidRDefault="00330C56" w:rsidP="00B50B4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93AD3" w:rsidRPr="00D97EBB" w:rsidRDefault="00A93AD3" w:rsidP="00B50B43">
      <w:pPr>
        <w:spacing w:before="240"/>
        <w:ind w:left="1361"/>
        <w:jc w:val="right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color w:val="000000" w:themeColor="text1"/>
        </w:rPr>
        <w:t>__________________________________    ____________ / ______________________</w:t>
      </w:r>
    </w:p>
    <w:p w:rsidR="00A93AD3" w:rsidRPr="00D97EBB" w:rsidRDefault="00A93AD3" w:rsidP="00B50B43">
      <w:pPr>
        <w:ind w:left="1361"/>
        <w:jc w:val="right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>Должность (руководитель (уполномоченное лицо)</w:t>
      </w:r>
      <w:r w:rsidRPr="00D97EBB">
        <w:rPr>
          <w:rFonts w:ascii="Times New Roman" w:eastAsia="Times New Roman" w:hAnsi="Times New Roman" w:cs="Times New Roman"/>
          <w:color w:val="000000" w:themeColor="text1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>подпись</w:t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  <w:t>расшифровка</w:t>
      </w:r>
    </w:p>
    <w:p w:rsidR="00A93AD3" w:rsidRPr="00D97EBB" w:rsidRDefault="00A93AD3" w:rsidP="00B50B43">
      <w:pPr>
        <w:ind w:left="1361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93AD3" w:rsidRPr="00D97EBB" w:rsidRDefault="00A93AD3" w:rsidP="00B50B43">
      <w:pPr>
        <w:ind w:left="1361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color w:val="000000" w:themeColor="text1"/>
        </w:rPr>
        <w:t>Заверил:</w:t>
      </w:r>
    </w:p>
    <w:p w:rsidR="00A93AD3" w:rsidRPr="00D97EBB" w:rsidRDefault="00A93AD3" w:rsidP="00B50B43">
      <w:pPr>
        <w:ind w:left="1361"/>
        <w:jc w:val="right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color w:val="000000" w:themeColor="text1"/>
        </w:rPr>
        <w:t>__________________________________    ____________ / ______________________</w:t>
      </w:r>
    </w:p>
    <w:p w:rsidR="00A93AD3" w:rsidRPr="00D97EBB" w:rsidRDefault="00A93AD3" w:rsidP="00B50B43">
      <w:pPr>
        <w:ind w:left="1361"/>
        <w:jc w:val="right"/>
        <w:rPr>
          <w:rFonts w:ascii="Times New Roman" w:hAnsi="Times New Roman" w:cs="Times New Roman"/>
          <w:color w:val="000000" w:themeColor="text1"/>
        </w:rPr>
      </w:pP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>Должность (начальник отдела кадров/ руководитель научного подразделения)</w:t>
      </w:r>
      <w:r w:rsidRPr="00D97EBB">
        <w:rPr>
          <w:rFonts w:ascii="Times New Roman" w:eastAsia="Times New Roman" w:hAnsi="Times New Roman" w:cs="Times New Roman"/>
          <w:color w:val="000000" w:themeColor="text1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>подпись</w:t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</w:r>
      <w:r w:rsidRPr="00D97EBB">
        <w:rPr>
          <w:rFonts w:ascii="Times New Roman" w:eastAsia="Times New Roman" w:hAnsi="Times New Roman" w:cs="Times New Roman"/>
          <w:color w:val="000000" w:themeColor="text1"/>
          <w:vertAlign w:val="superscript"/>
        </w:rPr>
        <w:tab/>
        <w:t>расшифровка</w:t>
      </w:r>
    </w:p>
    <w:p w:rsidR="00A93AD3" w:rsidRPr="00D97EBB" w:rsidRDefault="00A93AD3" w:rsidP="00B50B43">
      <w:pPr>
        <w:ind w:left="1361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:rsidR="00A93AD3" w:rsidRPr="00D97EBB" w:rsidRDefault="00A93AD3" w:rsidP="00B50B43">
      <w:pPr>
        <w:jc w:val="right"/>
        <w:rPr>
          <w:rFonts w:ascii="Times New Roman" w:eastAsia="Times New Roman" w:hAnsi="Times New Roman" w:cs="Times New Roman"/>
          <w:iCs/>
          <w:color w:val="000000" w:themeColor="text1"/>
        </w:rPr>
      </w:pPr>
      <w:r w:rsidRPr="00D97EBB">
        <w:rPr>
          <w:rFonts w:ascii="Times New Roman" w:hAnsi="Times New Roman" w:cs="Times New Roman"/>
          <w:iCs/>
          <w:color w:val="000000" w:themeColor="text1"/>
        </w:rPr>
        <w:t>«_____» _______________ 2025</w:t>
      </w:r>
      <w:r w:rsidR="00C87C51" w:rsidRPr="00D97EBB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="00D102B5" w:rsidRPr="00D97EBB">
        <w:rPr>
          <w:rFonts w:ascii="Times New Roman" w:hAnsi="Times New Roman" w:cs="Times New Roman"/>
          <w:iCs/>
          <w:color w:val="000000" w:themeColor="text1"/>
        </w:rPr>
        <w:t>года</w:t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hAnsi="Times New Roman" w:cs="Times New Roman"/>
          <w:iCs/>
          <w:color w:val="000000" w:themeColor="text1"/>
        </w:rPr>
        <w:tab/>
      </w:r>
      <w:r w:rsidRPr="00D97EBB">
        <w:rPr>
          <w:rFonts w:ascii="Times New Roman" w:eastAsia="Times New Roman" w:hAnsi="Times New Roman" w:cs="Times New Roman"/>
          <w:iCs/>
          <w:color w:val="000000" w:themeColor="text1"/>
        </w:rPr>
        <w:t>Печать организации</w:t>
      </w:r>
    </w:p>
    <w:p w:rsidR="003F46EB" w:rsidRPr="00D97EBB" w:rsidRDefault="00A93AD3" w:rsidP="00B50B43">
      <w:pPr>
        <w:jc w:val="center"/>
        <w:rPr>
          <w:rFonts w:ascii="Times New Roman" w:hAnsi="Times New Roman" w:cs="Times New Roman"/>
          <w:color w:val="000000" w:themeColor="text1"/>
          <w:vertAlign w:val="superscript"/>
        </w:rPr>
      </w:pPr>
      <w:r w:rsidRPr="00D97EBB">
        <w:rPr>
          <w:rFonts w:ascii="Times New Roman" w:hAnsi="Times New Roman" w:cs="Times New Roman"/>
          <w:i/>
          <w:iCs/>
          <w:color w:val="000000" w:themeColor="text1"/>
          <w:vertAlign w:val="superscript"/>
        </w:rPr>
        <w:t>дата (не ранее начала объявления отбора)</w:t>
      </w:r>
    </w:p>
    <w:sectPr w:rsidR="003F46EB" w:rsidRPr="00D97EBB" w:rsidSect="00D102B5">
      <w:pgSz w:w="16838" w:h="11906" w:orient="landscape"/>
      <w:pgMar w:top="1134" w:right="567" w:bottom="1134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FD" w:rsidRDefault="00D465FD">
      <w:r>
        <w:separator/>
      </w:r>
    </w:p>
  </w:endnote>
  <w:endnote w:type="continuationSeparator" w:id="0">
    <w:p w:rsidR="00D465FD" w:rsidRDefault="00D4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DejaVu Sans">
    <w:charset w:val="01"/>
    <w:family w:val="roman"/>
    <w:pitch w:val="default"/>
  </w:font>
  <w:font w:name="Noto Sans Devanagari">
    <w:altName w:val="Times New Roman"/>
    <w:charset w:val="01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36" w:rsidRDefault="00834536">
    <w:pPr>
      <w:suppressAutoHyphens/>
      <w:rPr>
        <w:rStyle w:val="a6"/>
        <w:rFonts w:ascii="Times New Roman" w:hAnsi="Times New Roman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FD" w:rsidRDefault="00D465FD">
      <w:r>
        <w:separator/>
      </w:r>
    </w:p>
  </w:footnote>
  <w:footnote w:type="continuationSeparator" w:id="0">
    <w:p w:rsidR="00D465FD" w:rsidRDefault="00D46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394623673"/>
      <w:docPartObj>
        <w:docPartGallery w:val="Page Numbers (Top of Page)"/>
        <w:docPartUnique/>
      </w:docPartObj>
    </w:sdtPr>
    <w:sdtEndPr/>
    <w:sdtContent>
      <w:p w:rsidR="00013EDC" w:rsidRPr="00013EDC" w:rsidRDefault="00013EDC">
        <w:pPr>
          <w:pStyle w:val="afe"/>
          <w:rPr>
            <w:sz w:val="28"/>
            <w:szCs w:val="28"/>
          </w:rPr>
        </w:pPr>
      </w:p>
      <w:p w:rsidR="00013EDC" w:rsidRPr="00013EDC" w:rsidRDefault="00013EDC" w:rsidP="00013EDC">
        <w:pPr>
          <w:pStyle w:val="afe"/>
          <w:jc w:val="both"/>
          <w:rPr>
            <w:sz w:val="28"/>
            <w:szCs w:val="28"/>
          </w:rPr>
        </w:pPr>
      </w:p>
      <w:p w:rsidR="00B50B43" w:rsidRPr="00013EDC" w:rsidRDefault="00B50B43">
        <w:pPr>
          <w:pStyle w:val="afe"/>
          <w:rPr>
            <w:sz w:val="28"/>
            <w:szCs w:val="28"/>
          </w:rPr>
        </w:pPr>
        <w:r w:rsidRPr="00013EDC">
          <w:rPr>
            <w:sz w:val="28"/>
            <w:szCs w:val="28"/>
          </w:rPr>
          <w:fldChar w:fldCharType="begin"/>
        </w:r>
        <w:r w:rsidRPr="00013EDC">
          <w:rPr>
            <w:sz w:val="28"/>
            <w:szCs w:val="28"/>
          </w:rPr>
          <w:instrText>PAGE   \* MERGEFORMAT</w:instrText>
        </w:r>
        <w:r w:rsidRPr="00013EDC">
          <w:rPr>
            <w:sz w:val="28"/>
            <w:szCs w:val="28"/>
          </w:rPr>
          <w:fldChar w:fldCharType="separate"/>
        </w:r>
        <w:r w:rsidR="00844B26">
          <w:rPr>
            <w:noProof/>
            <w:sz w:val="28"/>
            <w:szCs w:val="28"/>
          </w:rPr>
          <w:t>21</w:t>
        </w:r>
        <w:r w:rsidRPr="00013EDC">
          <w:rPr>
            <w:sz w:val="28"/>
            <w:szCs w:val="28"/>
          </w:rPr>
          <w:fldChar w:fldCharType="end"/>
        </w:r>
      </w:p>
    </w:sdtContent>
  </w:sdt>
  <w:p w:rsidR="00F132CD" w:rsidRDefault="00F132CD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05209"/>
    <w:multiLevelType w:val="multilevel"/>
    <w:tmpl w:val="F2ECE288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56AB14EB"/>
    <w:multiLevelType w:val="multilevel"/>
    <w:tmpl w:val="6BCAC04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EE67C5"/>
    <w:multiLevelType w:val="multilevel"/>
    <w:tmpl w:val="5928C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36"/>
    <w:rsid w:val="00013EDC"/>
    <w:rsid w:val="000260B7"/>
    <w:rsid w:val="00041FB7"/>
    <w:rsid w:val="00055A2B"/>
    <w:rsid w:val="00073C5A"/>
    <w:rsid w:val="000907F6"/>
    <w:rsid w:val="00093EA2"/>
    <w:rsid w:val="000972DD"/>
    <w:rsid w:val="00100993"/>
    <w:rsid w:val="0011349E"/>
    <w:rsid w:val="00113C54"/>
    <w:rsid w:val="001438DB"/>
    <w:rsid w:val="00176C63"/>
    <w:rsid w:val="001A1575"/>
    <w:rsid w:val="001D223A"/>
    <w:rsid w:val="001E1CFA"/>
    <w:rsid w:val="00200020"/>
    <w:rsid w:val="0020741D"/>
    <w:rsid w:val="002177D3"/>
    <w:rsid w:val="0022098D"/>
    <w:rsid w:val="0023721C"/>
    <w:rsid w:val="0027698F"/>
    <w:rsid w:val="002827B2"/>
    <w:rsid w:val="0029466E"/>
    <w:rsid w:val="002C40A4"/>
    <w:rsid w:val="002E6187"/>
    <w:rsid w:val="00300BC4"/>
    <w:rsid w:val="00320537"/>
    <w:rsid w:val="00330C56"/>
    <w:rsid w:val="00343820"/>
    <w:rsid w:val="00392FC4"/>
    <w:rsid w:val="003A19D8"/>
    <w:rsid w:val="003A3380"/>
    <w:rsid w:val="003A500F"/>
    <w:rsid w:val="003C4089"/>
    <w:rsid w:val="003E2676"/>
    <w:rsid w:val="003F46EB"/>
    <w:rsid w:val="0040387F"/>
    <w:rsid w:val="004141DD"/>
    <w:rsid w:val="004800A2"/>
    <w:rsid w:val="00485272"/>
    <w:rsid w:val="004A0607"/>
    <w:rsid w:val="004D483D"/>
    <w:rsid w:val="00515F06"/>
    <w:rsid w:val="00520232"/>
    <w:rsid w:val="00520260"/>
    <w:rsid w:val="005322F9"/>
    <w:rsid w:val="005839E5"/>
    <w:rsid w:val="00596C08"/>
    <w:rsid w:val="005E2175"/>
    <w:rsid w:val="00622455"/>
    <w:rsid w:val="00652407"/>
    <w:rsid w:val="006935CD"/>
    <w:rsid w:val="006A11CC"/>
    <w:rsid w:val="00720C14"/>
    <w:rsid w:val="007246EC"/>
    <w:rsid w:val="00731149"/>
    <w:rsid w:val="0075044F"/>
    <w:rsid w:val="0078050C"/>
    <w:rsid w:val="00795C6E"/>
    <w:rsid w:val="007B1DA4"/>
    <w:rsid w:val="007B54EA"/>
    <w:rsid w:val="007B56D8"/>
    <w:rsid w:val="007C6B99"/>
    <w:rsid w:val="007D6ED2"/>
    <w:rsid w:val="007E6B50"/>
    <w:rsid w:val="008237B8"/>
    <w:rsid w:val="00834536"/>
    <w:rsid w:val="00844B26"/>
    <w:rsid w:val="00857F15"/>
    <w:rsid w:val="00861531"/>
    <w:rsid w:val="00861621"/>
    <w:rsid w:val="008A117B"/>
    <w:rsid w:val="008B61BD"/>
    <w:rsid w:val="008D47A1"/>
    <w:rsid w:val="008D788D"/>
    <w:rsid w:val="008E67F0"/>
    <w:rsid w:val="00923AD3"/>
    <w:rsid w:val="0094439F"/>
    <w:rsid w:val="009759D2"/>
    <w:rsid w:val="00995F0D"/>
    <w:rsid w:val="009D3240"/>
    <w:rsid w:val="00A2127A"/>
    <w:rsid w:val="00A36CC3"/>
    <w:rsid w:val="00A52A95"/>
    <w:rsid w:val="00A75CE8"/>
    <w:rsid w:val="00A93AD3"/>
    <w:rsid w:val="00A96621"/>
    <w:rsid w:val="00AA65E9"/>
    <w:rsid w:val="00AE5ED3"/>
    <w:rsid w:val="00AF36C2"/>
    <w:rsid w:val="00B0312F"/>
    <w:rsid w:val="00B45A2B"/>
    <w:rsid w:val="00B50B43"/>
    <w:rsid w:val="00B62360"/>
    <w:rsid w:val="00B67750"/>
    <w:rsid w:val="00BA3701"/>
    <w:rsid w:val="00BC0B57"/>
    <w:rsid w:val="00BC4A82"/>
    <w:rsid w:val="00BE3B5B"/>
    <w:rsid w:val="00C1381C"/>
    <w:rsid w:val="00C14D78"/>
    <w:rsid w:val="00C22523"/>
    <w:rsid w:val="00C55945"/>
    <w:rsid w:val="00C6737F"/>
    <w:rsid w:val="00C86F53"/>
    <w:rsid w:val="00C87C51"/>
    <w:rsid w:val="00CA5265"/>
    <w:rsid w:val="00CC5321"/>
    <w:rsid w:val="00CC68E6"/>
    <w:rsid w:val="00D102B5"/>
    <w:rsid w:val="00D13DF8"/>
    <w:rsid w:val="00D24177"/>
    <w:rsid w:val="00D342B2"/>
    <w:rsid w:val="00D465FD"/>
    <w:rsid w:val="00D82335"/>
    <w:rsid w:val="00D97EBB"/>
    <w:rsid w:val="00DB641C"/>
    <w:rsid w:val="00DD5975"/>
    <w:rsid w:val="00E11CDB"/>
    <w:rsid w:val="00E41BEA"/>
    <w:rsid w:val="00E42E83"/>
    <w:rsid w:val="00E739DF"/>
    <w:rsid w:val="00EA0347"/>
    <w:rsid w:val="00F11C00"/>
    <w:rsid w:val="00F132CD"/>
    <w:rsid w:val="00F35B24"/>
    <w:rsid w:val="00F607A8"/>
    <w:rsid w:val="00F61D4C"/>
    <w:rsid w:val="00F64F59"/>
    <w:rsid w:val="00F81FB5"/>
    <w:rsid w:val="00FB2940"/>
    <w:rsid w:val="00FD47A3"/>
    <w:rsid w:val="00FD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A0BB4"/>
  <w15:docId w15:val="{01DD2E52-A60D-4326-AD6E-50AD7191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DejaVu Sans" w:hAnsi="PT Astra Serif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  <w:ind w:firstLine="720"/>
      <w:jc w:val="both"/>
    </w:pPr>
    <w:rPr>
      <w:rFonts w:ascii="Times New Roman CYR" w:eastAsia="Symbol" w:hAnsi="Times New Roman CYR" w:cs="Wingdings"/>
    </w:rPr>
  </w:style>
  <w:style w:type="paragraph" w:styleId="1">
    <w:name w:val="heading 1"/>
    <w:basedOn w:val="a"/>
    <w:next w:val="a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10"/>
    <w:next w:val="a0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qFormat/>
    <w:rPr>
      <w:rFonts w:ascii="Times New Roman" w:eastAsia="Times New Roman" w:hAnsi="Times New Roman" w:cs="Times New Roman"/>
      <w:b w:val="0"/>
      <w:color w:val="106BBE"/>
      <w:szCs w:val="24"/>
    </w:rPr>
  </w:style>
  <w:style w:type="character" w:customStyle="1" w:styleId="a5">
    <w:name w:val="Цветовое выделение"/>
    <w:qFormat/>
    <w:rPr>
      <w:rFonts w:ascii="Times New Roman" w:hAnsi="Times New Roman"/>
      <w:b/>
      <w:color w:val="26282F"/>
      <w:sz w:val="24"/>
    </w:rPr>
  </w:style>
  <w:style w:type="character" w:customStyle="1" w:styleId="a6">
    <w:name w:val="Цветовое выделение для Текст"/>
    <w:qFormat/>
  </w:style>
  <w:style w:type="character" w:styleId="a7">
    <w:name w:val="Hyperlink"/>
    <w:rPr>
      <w:color w:val="000080"/>
      <w:u w:val="single"/>
    </w:rPr>
  </w:style>
  <w:style w:type="character" w:styleId="a8">
    <w:name w:val="annotation reference"/>
    <w:basedOn w:val="a1"/>
    <w:qFormat/>
    <w:rPr>
      <w:sz w:val="16"/>
      <w:szCs w:val="16"/>
    </w:rPr>
  </w:style>
  <w:style w:type="character" w:customStyle="1" w:styleId="a9">
    <w:name w:val="Текст примечания Знак"/>
    <w:basedOn w:val="a1"/>
    <w:link w:val="aa"/>
    <w:qFormat/>
    <w:rPr>
      <w:rFonts w:ascii="Times New Roman CYR" w:eastAsia="Symbol" w:hAnsi="Times New Roman CYR" w:cs="Mangal"/>
      <w:sz w:val="20"/>
      <w:szCs w:val="18"/>
    </w:rPr>
  </w:style>
  <w:style w:type="character" w:customStyle="1" w:styleId="ab">
    <w:name w:val="Тема примечания Знак"/>
    <w:basedOn w:val="a9"/>
    <w:link w:val="ac"/>
    <w:qFormat/>
    <w:rPr>
      <w:rFonts w:ascii="Times New Roman CYR" w:eastAsia="Symbol" w:hAnsi="Times New Roman CYR" w:cs="Mangal"/>
      <w:b/>
      <w:bCs/>
      <w:sz w:val="20"/>
      <w:szCs w:val="18"/>
    </w:rPr>
  </w:style>
  <w:style w:type="character" w:customStyle="1" w:styleId="ad">
    <w:name w:val="Текст выноски Знак"/>
    <w:basedOn w:val="a1"/>
    <w:link w:val="ae"/>
    <w:qFormat/>
    <w:rPr>
      <w:rFonts w:ascii="Tahoma" w:eastAsia="Symbol" w:hAnsi="Tahoma" w:cs="Mangal"/>
      <w:sz w:val="16"/>
      <w:szCs w:val="14"/>
    </w:rPr>
  </w:style>
  <w:style w:type="character" w:styleId="af">
    <w:name w:val="Emphasis"/>
    <w:qFormat/>
    <w:rPr>
      <w:i/>
      <w:iCs/>
    </w:rPr>
  </w:style>
  <w:style w:type="character" w:customStyle="1" w:styleId="af0">
    <w:name w:val="Символ нумерации"/>
    <w:qFormat/>
  </w:style>
  <w:style w:type="character" w:styleId="af1">
    <w:name w:val="FollowedHyperlink"/>
    <w:rPr>
      <w:color w:val="800000"/>
      <w:u w:val="single"/>
    </w:rPr>
  </w:style>
  <w:style w:type="character" w:customStyle="1" w:styleId="af2">
    <w:name w:val="Маркеры"/>
    <w:qFormat/>
    <w:rPr>
      <w:rFonts w:ascii="OpenSymbol" w:eastAsia="OpenSymbol" w:hAnsi="OpenSymbol" w:cs="OpenSymbol"/>
    </w:rPr>
  </w:style>
  <w:style w:type="character" w:styleId="af3">
    <w:name w:val="Strong"/>
    <w:uiPriority w:val="22"/>
    <w:qFormat/>
    <w:rPr>
      <w:b/>
      <w:bCs/>
    </w:rPr>
  </w:style>
  <w:style w:type="character" w:customStyle="1" w:styleId="af4">
    <w:name w:val="Символ сноски"/>
    <w:qFormat/>
    <w:rPr>
      <w:vertAlign w:val="superscript"/>
    </w:rPr>
  </w:style>
  <w:style w:type="character" w:styleId="af5">
    <w:name w:val="footnote reference"/>
    <w:rPr>
      <w:vertAlign w:val="superscript"/>
    </w:rPr>
  </w:style>
  <w:style w:type="paragraph" w:styleId="af6">
    <w:name w:val="Title"/>
    <w:basedOn w:val="a"/>
    <w:next w:val="a0"/>
    <w:uiPriority w:val="1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7">
    <w:name w:val="List"/>
    <w:basedOn w:val="a0"/>
    <w:rPr>
      <w:rFonts w:ascii="PT Astra Serif" w:hAnsi="PT Astra Serif" w:cs="Noto Sans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9">
    <w:name w:val="index heading"/>
    <w:basedOn w:val="a"/>
    <w:rPr>
      <w:rFonts w:ascii="PT Astra Serif" w:hAnsi="PT Astra Serif" w:cs="Noto Sans Devanagari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PT Astra Serif" w:eastAsia="DejaVu Sans" w:hAnsi="PT Astra Serif" w:cs="Noto Sans Devanagari"/>
      <w:sz w:val="28"/>
      <w:szCs w:val="28"/>
    </w:rPr>
  </w:style>
  <w:style w:type="paragraph" w:customStyle="1" w:styleId="caption1">
    <w:name w:val="caption1"/>
    <w:basedOn w:val="a"/>
    <w:qFormat/>
    <w:pPr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afa">
    <w:name w:val="Таблицы (моноширинный)"/>
    <w:basedOn w:val="a"/>
    <w:next w:val="a"/>
    <w:qFormat/>
    <w:pPr>
      <w:ind w:firstLine="0"/>
    </w:pPr>
    <w:rPr>
      <w:rFonts w:ascii="Courier New" w:hAnsi="Courier New"/>
    </w:rPr>
  </w:style>
  <w:style w:type="paragraph" w:customStyle="1" w:styleId="afb">
    <w:name w:val="Прижатый влево"/>
    <w:basedOn w:val="a"/>
    <w:next w:val="a"/>
    <w:qFormat/>
    <w:pPr>
      <w:ind w:firstLine="0"/>
      <w:jc w:val="left"/>
    </w:pPr>
  </w:style>
  <w:style w:type="paragraph" w:customStyle="1" w:styleId="afc">
    <w:name w:val="Нормальный (таблица)"/>
    <w:basedOn w:val="a"/>
    <w:next w:val="a"/>
    <w:qFormat/>
    <w:pPr>
      <w:ind w:firstLine="0"/>
    </w:pPr>
  </w:style>
  <w:style w:type="paragraph" w:customStyle="1" w:styleId="afd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e">
    <w:name w:val="header"/>
    <w:basedOn w:val="a"/>
    <w:next w:val="a"/>
    <w:link w:val="aff"/>
    <w:uiPriority w:val="99"/>
    <w:pPr>
      <w:ind w:firstLine="0"/>
      <w:jc w:val="center"/>
    </w:pPr>
    <w:rPr>
      <w:rFonts w:ascii="Times New Roman" w:hAnsi="Times New Roman"/>
      <w:sz w:val="20"/>
    </w:rPr>
  </w:style>
  <w:style w:type="paragraph" w:styleId="aff0">
    <w:name w:val="footer"/>
    <w:basedOn w:val="a"/>
    <w:next w:val="a"/>
    <w:pPr>
      <w:ind w:firstLine="0"/>
      <w:jc w:val="left"/>
    </w:pPr>
    <w:rPr>
      <w:rFonts w:ascii="Times New Roman" w:hAnsi="Times New Roman"/>
      <w:sz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Courier New"/>
      <w:b/>
    </w:rPr>
  </w:style>
  <w:style w:type="paragraph" w:styleId="aff1">
    <w:name w:val="List Paragraph"/>
    <w:basedOn w:val="a"/>
    <w:qFormat/>
    <w:pPr>
      <w:ind w:left="720"/>
      <w:contextualSpacing/>
    </w:pPr>
    <w:rPr>
      <w:rFonts w:cs="Mangal"/>
      <w:szCs w:val="21"/>
    </w:rPr>
  </w:style>
  <w:style w:type="paragraph" w:customStyle="1" w:styleId="aff2">
    <w:name w:val="Комментарий"/>
    <w:next w:val="a"/>
    <w:qFormat/>
    <w:pPr>
      <w:widowControl w:val="0"/>
      <w:suppressAutoHyphens w:val="0"/>
      <w:spacing w:before="75"/>
      <w:ind w:left="170" w:right="170"/>
      <w:jc w:val="both"/>
    </w:pPr>
    <w:rPr>
      <w:rFonts w:ascii="Times New Roman CYR" w:eastAsia="Symbol" w:hAnsi="Times New Roman CYR" w:cs="Wingdings"/>
      <w:color w:val="353842"/>
    </w:rPr>
  </w:style>
  <w:style w:type="paragraph" w:styleId="aa">
    <w:name w:val="annotation text"/>
    <w:basedOn w:val="a"/>
    <w:link w:val="a9"/>
    <w:rPr>
      <w:rFonts w:cs="Mangal"/>
      <w:sz w:val="20"/>
      <w:szCs w:val="18"/>
    </w:rPr>
  </w:style>
  <w:style w:type="paragraph" w:styleId="ac">
    <w:name w:val="annotation subject"/>
    <w:basedOn w:val="aa"/>
    <w:next w:val="aa"/>
    <w:link w:val="ab"/>
    <w:qFormat/>
    <w:rPr>
      <w:b/>
      <w:bCs/>
    </w:rPr>
  </w:style>
  <w:style w:type="paragraph" w:styleId="ae">
    <w:name w:val="Balloon Text"/>
    <w:basedOn w:val="a"/>
    <w:link w:val="ad"/>
    <w:qFormat/>
    <w:rPr>
      <w:rFonts w:ascii="Tahoma" w:hAnsi="Tahoma" w:cs="Mangal"/>
      <w:sz w:val="16"/>
      <w:szCs w:val="14"/>
    </w:rPr>
  </w:style>
  <w:style w:type="paragraph" w:customStyle="1" w:styleId="aff3">
    <w:name w:val="Информация о версии"/>
    <w:basedOn w:val="aff2"/>
    <w:next w:val="a"/>
    <w:qFormat/>
    <w:rPr>
      <w:i/>
    </w:rPr>
  </w:style>
  <w:style w:type="paragraph" w:customStyle="1" w:styleId="aff4">
    <w:name w:val="Содержимое врезки"/>
    <w:basedOn w:val="a"/>
    <w:qFormat/>
  </w:style>
  <w:style w:type="paragraph" w:styleId="aff5">
    <w:name w:val="Body Text First Indent"/>
    <w:basedOn w:val="a"/>
    <w:pPr>
      <w:ind w:firstLine="709"/>
    </w:pPr>
  </w:style>
  <w:style w:type="paragraph" w:customStyle="1" w:styleId="aff6">
    <w:name w:val="Содержимое таблицы"/>
    <w:basedOn w:val="a"/>
    <w:qFormat/>
  </w:style>
  <w:style w:type="paragraph" w:customStyle="1" w:styleId="aff7">
    <w:name w:val="Заголовок таблицы"/>
    <w:basedOn w:val="aff6"/>
    <w:qFormat/>
    <w:pPr>
      <w:suppressLineNumbers/>
      <w:jc w:val="center"/>
    </w:pPr>
    <w:rPr>
      <w:b/>
      <w:bCs/>
    </w:rPr>
  </w:style>
  <w:style w:type="paragraph" w:styleId="aff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ds-markdown-paragraph">
    <w:name w:val="ds-markdown-paragraph"/>
    <w:basedOn w:val="a"/>
    <w:qFormat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kern w:val="0"/>
      <w:lang w:eastAsia="zh-TW" w:bidi="ar-SA"/>
    </w:rPr>
  </w:style>
  <w:style w:type="numbering" w:customStyle="1" w:styleId="aff9">
    <w:name w:val="Без списка"/>
    <w:qFormat/>
  </w:style>
  <w:style w:type="table" w:styleId="affa">
    <w:name w:val="Table Grid"/>
    <w:basedOn w:val="a2"/>
    <w:uiPriority w:val="39"/>
    <w:rsid w:val="00A93AD3"/>
    <w:pPr>
      <w:suppressAutoHyphens w:val="0"/>
    </w:pPr>
    <w:rPr>
      <w:rFonts w:asciiTheme="minorHAnsi" w:eastAsiaTheme="minorEastAsia" w:hAnsiTheme="minorHAnsi" w:cstheme="minorBidi"/>
      <w:lang w:eastAsia="zh-TW" w:bidi="ar-S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Верхний колонтитул Знак"/>
    <w:basedOn w:val="a1"/>
    <w:link w:val="afe"/>
    <w:uiPriority w:val="99"/>
    <w:rsid w:val="00DD5975"/>
    <w:rPr>
      <w:rFonts w:ascii="Times New Roman" w:eastAsia="Symbol" w:hAnsi="Times New Roman" w:cs="Wingding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283DF-C43F-431B-97A4-28361990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9164</Words>
  <Characters>52241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Ильнара</dc:creator>
  <cp:keywords/>
  <dc:description/>
  <cp:lastModifiedBy>Гульназ Исламова</cp:lastModifiedBy>
  <cp:revision>4</cp:revision>
  <dcterms:created xsi:type="dcterms:W3CDTF">2025-07-23T08:58:00Z</dcterms:created>
  <dcterms:modified xsi:type="dcterms:W3CDTF">2025-07-23T13:47:00Z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dc:language>ru-RU</dc:language>
  <cp:lastModifiedBy/>
  <cp:lastPrinted>2025-05-29T17:09:43Z</cp:lastPrinted>
  <dcterms:modified xsi:type="dcterms:W3CDTF">2025-06-25T16:55:22Z</dcterms:modified>
  <cp:revision>66</cp:revision>
  <dc:subject/>
  <dc:title/>
</cp:coreProperties>
</file>